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3969"/>
        <w:gridCol w:w="95"/>
      </w:tblGrid>
      <w:tr w:rsidR="00111A8A" w:rsidRPr="00320D2B" w14:paraId="6F4978B3" w14:textId="77777777" w:rsidTr="008838DD">
        <w:trPr>
          <w:gridAfter w:val="1"/>
          <w:wAfter w:w="95" w:type="dxa"/>
          <w:trHeight w:val="1550"/>
        </w:trPr>
        <w:tc>
          <w:tcPr>
            <w:tcW w:w="4395" w:type="dxa"/>
            <w:vAlign w:val="center"/>
            <w:hideMark/>
          </w:tcPr>
          <w:p w14:paraId="199E9720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0D2B">
              <w:rPr>
                <w:rFonts w:ascii="Arial" w:hAnsi="Arial" w:cs="Arial"/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A9485EA" wp14:editId="2EE25DF1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167005</wp:posOffset>
                  </wp:positionV>
                  <wp:extent cx="752475" cy="771525"/>
                  <wp:effectExtent l="19050" t="0" r="9525" b="0"/>
                  <wp:wrapSquare wrapText="bothSides"/>
                  <wp:docPr id="2" name="Picture 4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14:paraId="74187346" w14:textId="77777777" w:rsidR="00111A8A" w:rsidRPr="00320D2B" w:rsidRDefault="00111A8A" w:rsidP="00111A8A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690B3DA9" w14:textId="77777777" w:rsidR="00111A8A" w:rsidRPr="00320D2B" w:rsidRDefault="00111A8A" w:rsidP="00111A8A">
            <w:pPr>
              <w:spacing w:after="0" w:line="240" w:lineRule="auto"/>
              <w:ind w:left="-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3D3AAAD0" wp14:editId="0EB7B34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19050" t="0" r="0" b="0"/>
                  <wp:wrapNone/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1A8A" w:rsidRPr="00320D2B" w14:paraId="77107A18" w14:textId="77777777" w:rsidTr="008838DD">
        <w:tc>
          <w:tcPr>
            <w:tcW w:w="4395" w:type="dxa"/>
            <w:vAlign w:val="center"/>
            <w:hideMark/>
          </w:tcPr>
          <w:p w14:paraId="70A851FA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0D2B">
              <w:rPr>
                <w:rFonts w:ascii="Arial" w:hAnsi="Arial" w:cs="Arial"/>
                <w:sz w:val="18"/>
                <w:szCs w:val="18"/>
              </w:rPr>
              <w:t>ΚΥΠΡΙΑΚΗ ΔΗΜΟΚΡΑΤΙΑ</w:t>
            </w:r>
          </w:p>
          <w:p w14:paraId="045DD3D8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b/>
                <w:sz w:val="20"/>
                <w:szCs w:val="20"/>
              </w:rPr>
              <w:t>ΥΠΟΥΡΓΕΙΟ</w:t>
            </w:r>
          </w:p>
          <w:p w14:paraId="1E94A7DD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D2B">
              <w:rPr>
                <w:rFonts w:ascii="Arial" w:hAnsi="Arial" w:cs="Arial"/>
                <w:b/>
                <w:sz w:val="20"/>
                <w:szCs w:val="20"/>
              </w:rPr>
              <w:t>ΜΕΤΑΦΟΡΩΝ, ΕΠΙΚΟΙΝΩΝΙΩΝ ΚΑΙ ΕΡΓΩΝ</w:t>
            </w:r>
          </w:p>
          <w:p w14:paraId="47F88B12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4" w:type="dxa"/>
            <w:gridSpan w:val="3"/>
          </w:tcPr>
          <w:p w14:paraId="24FC1DD0" w14:textId="77777777" w:rsidR="00111A8A" w:rsidRPr="00320D2B" w:rsidRDefault="00111A8A" w:rsidP="00111A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177D7D" w14:textId="77777777" w:rsidR="001A7364" w:rsidRDefault="001A7364" w:rsidP="002A3C0B">
      <w:pPr>
        <w:rPr>
          <w:rFonts w:ascii="Arial" w:hAnsi="Arial" w:cs="Arial"/>
          <w:b/>
          <w:bCs/>
        </w:rPr>
      </w:pPr>
    </w:p>
    <w:p w14:paraId="732A392D" w14:textId="274DC8A7" w:rsidR="002A3C0B" w:rsidRDefault="002A3C0B" w:rsidP="002A3C0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Αρ. </w:t>
      </w:r>
      <w:proofErr w:type="spellStart"/>
      <w:r>
        <w:rPr>
          <w:rFonts w:ascii="Arial" w:hAnsi="Arial" w:cs="Arial"/>
          <w:b/>
          <w:bCs/>
        </w:rPr>
        <w:t>Φακ</w:t>
      </w:r>
      <w:proofErr w:type="spellEnd"/>
      <w:r>
        <w:rPr>
          <w:rFonts w:ascii="Arial" w:hAnsi="Arial" w:cs="Arial"/>
          <w:b/>
          <w:bCs/>
        </w:rPr>
        <w:t>.: 12.03.001.01</w:t>
      </w:r>
    </w:p>
    <w:p w14:paraId="36A5E718" w14:textId="77777777" w:rsidR="001A7364" w:rsidRDefault="001A7364" w:rsidP="00BB5485">
      <w:pPr>
        <w:rPr>
          <w:rFonts w:ascii="Arial" w:hAnsi="Arial" w:cs="Arial"/>
          <w:b/>
          <w:bCs/>
        </w:rPr>
      </w:pPr>
    </w:p>
    <w:p w14:paraId="10454E74" w14:textId="0CB095DE" w:rsidR="00BB5485" w:rsidRPr="00320D2B" w:rsidRDefault="0028596E" w:rsidP="00BB54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</w:t>
      </w:r>
      <w:r w:rsidR="000C1E76">
        <w:rPr>
          <w:rFonts w:ascii="Arial" w:hAnsi="Arial" w:cs="Arial"/>
          <w:b/>
          <w:bCs/>
        </w:rPr>
        <w:t xml:space="preserve"> Φεβρουαρίου</w:t>
      </w:r>
      <w:r w:rsidR="00BB5485">
        <w:rPr>
          <w:rFonts w:ascii="Arial" w:hAnsi="Arial" w:cs="Arial"/>
          <w:b/>
          <w:bCs/>
        </w:rPr>
        <w:t>, 202</w:t>
      </w:r>
      <w:r w:rsidR="000C1E76">
        <w:rPr>
          <w:rFonts w:ascii="Arial" w:hAnsi="Arial" w:cs="Arial"/>
          <w:b/>
          <w:bCs/>
        </w:rPr>
        <w:t>3</w:t>
      </w:r>
    </w:p>
    <w:p w14:paraId="4DDF7488" w14:textId="77777777" w:rsidR="002D1151" w:rsidRDefault="002D1151" w:rsidP="00BB0898">
      <w:pPr>
        <w:spacing w:after="0" w:line="240" w:lineRule="auto"/>
        <w:outlineLvl w:val="0"/>
        <w:rPr>
          <w:rFonts w:ascii="Arial" w:eastAsia="Batang" w:hAnsi="Arial" w:cs="Arial"/>
          <w:b/>
          <w:u w:val="single"/>
        </w:rPr>
      </w:pPr>
    </w:p>
    <w:p w14:paraId="10866EAF" w14:textId="77777777" w:rsidR="00BB0898" w:rsidRPr="00BB0898" w:rsidRDefault="00BB0898" w:rsidP="00BB0898">
      <w:pPr>
        <w:spacing w:after="0" w:line="240" w:lineRule="auto"/>
        <w:outlineLvl w:val="0"/>
        <w:rPr>
          <w:rFonts w:ascii="Arial" w:eastAsia="Batang" w:hAnsi="Arial" w:cs="Arial"/>
          <w:b/>
          <w:u w:val="single"/>
        </w:rPr>
      </w:pPr>
      <w:r w:rsidRPr="00BB0898">
        <w:rPr>
          <w:rFonts w:ascii="Arial" w:eastAsia="Batang" w:hAnsi="Arial" w:cs="Arial"/>
          <w:b/>
          <w:u w:val="single"/>
        </w:rPr>
        <w:t>ΜΕ ΦΑΞ</w:t>
      </w:r>
    </w:p>
    <w:p w14:paraId="1050EAEC" w14:textId="77777777" w:rsidR="00BB0898" w:rsidRPr="00BB0898" w:rsidRDefault="00BB0898" w:rsidP="00BB0898">
      <w:pPr>
        <w:spacing w:after="0" w:line="240" w:lineRule="auto"/>
        <w:outlineLvl w:val="0"/>
        <w:rPr>
          <w:rFonts w:ascii="Arial" w:eastAsia="Batang" w:hAnsi="Arial" w:cs="Arial"/>
          <w:b/>
          <w:u w:val="single"/>
        </w:rPr>
      </w:pPr>
    </w:p>
    <w:p w14:paraId="0B510DD2" w14:textId="77777777" w:rsidR="00BB0898" w:rsidRPr="00BB0898" w:rsidRDefault="004C151D" w:rsidP="00BB0898">
      <w:pPr>
        <w:spacing w:after="0" w:line="240" w:lineRule="auto"/>
        <w:outlineLvl w:val="0"/>
        <w:rPr>
          <w:rFonts w:ascii="Arial" w:eastAsia="Batang" w:hAnsi="Arial" w:cs="Arial"/>
        </w:rPr>
      </w:pPr>
      <w:r w:rsidRPr="00320D2B">
        <w:rPr>
          <w:rFonts w:ascii="Arial" w:eastAsia="Batang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4EE1" wp14:editId="7B32E327">
                <wp:simplePos x="0" y="0"/>
                <wp:positionH relativeFrom="column">
                  <wp:posOffset>-533823</wp:posOffset>
                </wp:positionH>
                <wp:positionV relativeFrom="paragraph">
                  <wp:posOffset>131022</wp:posOffset>
                </wp:positionV>
                <wp:extent cx="237066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0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C00E77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05pt,10.3pt" to="-2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RWtgEAAMIDAAAOAAAAZHJzL2Uyb0RvYy54bWysU8GO0zAQvSPxD5bvNGnR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B0898" w:rsidRPr="00BB0898">
        <w:rPr>
          <w:rFonts w:ascii="Arial" w:eastAsia="Batang" w:hAnsi="Arial" w:cs="Arial"/>
        </w:rPr>
        <w:t>Π</w:t>
      </w:r>
      <w:r w:rsidR="006367DF" w:rsidRPr="00320D2B">
        <w:rPr>
          <w:rFonts w:ascii="Arial" w:eastAsia="Batang" w:hAnsi="Arial" w:cs="Arial"/>
        </w:rPr>
        <w:t>ίνακα</w:t>
      </w:r>
      <w:r w:rsidR="00BB5485">
        <w:rPr>
          <w:rFonts w:ascii="Arial" w:eastAsia="Batang" w:hAnsi="Arial" w:cs="Arial"/>
        </w:rPr>
        <w:t>ς</w:t>
      </w:r>
      <w:r w:rsidR="006367DF" w:rsidRPr="00320D2B">
        <w:rPr>
          <w:rFonts w:ascii="Arial" w:eastAsia="Batang" w:hAnsi="Arial" w:cs="Arial"/>
        </w:rPr>
        <w:t xml:space="preserve"> Αποδεκτών</w:t>
      </w:r>
    </w:p>
    <w:p w14:paraId="3F8BD99A" w14:textId="77777777" w:rsidR="00BB0898" w:rsidRPr="00BB0898" w:rsidRDefault="00BB0898" w:rsidP="00BB0898">
      <w:pPr>
        <w:spacing w:after="0" w:line="240" w:lineRule="auto"/>
        <w:rPr>
          <w:rFonts w:ascii="Arial" w:eastAsia="Batang" w:hAnsi="Arial" w:cs="Arial"/>
        </w:rPr>
      </w:pPr>
    </w:p>
    <w:p w14:paraId="7327B824" w14:textId="77777777" w:rsidR="00BB0898" w:rsidRPr="00BB0898" w:rsidRDefault="00BB0898" w:rsidP="00BB0898">
      <w:pPr>
        <w:spacing w:after="0" w:line="240" w:lineRule="auto"/>
        <w:rPr>
          <w:rFonts w:ascii="Arial" w:eastAsia="Batang" w:hAnsi="Arial" w:cs="Arial"/>
        </w:rPr>
      </w:pPr>
    </w:p>
    <w:p w14:paraId="55D03D0E" w14:textId="027400F0" w:rsidR="004C151D" w:rsidRPr="00955DD3" w:rsidRDefault="004C151D" w:rsidP="004C151D">
      <w:pPr>
        <w:jc w:val="center"/>
        <w:rPr>
          <w:rFonts w:ascii="Arial" w:hAnsi="Arial" w:cs="Arial"/>
          <w:b/>
          <w:u w:val="single"/>
        </w:rPr>
      </w:pPr>
      <w:r w:rsidRPr="00955DD3">
        <w:rPr>
          <w:rFonts w:ascii="Arial" w:hAnsi="Arial" w:cs="Arial"/>
          <w:b/>
          <w:u w:val="single"/>
        </w:rPr>
        <w:t xml:space="preserve">ΕΝΗΜΕΡΩΤΙΚΟ ΔΕΛΤΙΟ </w:t>
      </w:r>
      <w:r w:rsidR="000C1E76">
        <w:rPr>
          <w:rFonts w:ascii="Arial" w:hAnsi="Arial" w:cs="Arial"/>
          <w:b/>
          <w:u w:val="single"/>
        </w:rPr>
        <w:t>1</w:t>
      </w:r>
      <w:r w:rsidRPr="00955DD3">
        <w:rPr>
          <w:rFonts w:ascii="Arial" w:hAnsi="Arial" w:cs="Arial"/>
          <w:b/>
          <w:u w:val="single"/>
        </w:rPr>
        <w:t>/202</w:t>
      </w:r>
      <w:r w:rsidR="000C1E76">
        <w:rPr>
          <w:rFonts w:ascii="Arial" w:hAnsi="Arial" w:cs="Arial"/>
          <w:b/>
          <w:u w:val="single"/>
        </w:rPr>
        <w:t>3</w:t>
      </w:r>
    </w:p>
    <w:p w14:paraId="30C32538" w14:textId="77777777" w:rsidR="006367DF" w:rsidRPr="006367DF" w:rsidRDefault="006367DF" w:rsidP="006367D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6367DF">
        <w:rPr>
          <w:rFonts w:ascii="Arial" w:eastAsia="Times New Roman" w:hAnsi="Arial" w:cs="Arial"/>
          <w:b/>
          <w:u w:val="single"/>
        </w:rPr>
        <w:t>Οι περί Ηλεκτρισμού Νόμος (Κεφ. 170) και Κανονισμοί του 1941 μέχρι 201</w:t>
      </w:r>
      <w:r w:rsidR="005C2185">
        <w:rPr>
          <w:rFonts w:ascii="Arial" w:eastAsia="Times New Roman" w:hAnsi="Arial" w:cs="Arial"/>
          <w:b/>
          <w:u w:val="single"/>
        </w:rPr>
        <w:t>9</w:t>
      </w:r>
    </w:p>
    <w:p w14:paraId="497794BC" w14:textId="77777777" w:rsidR="004C151D" w:rsidRPr="00320D2B" w:rsidRDefault="004C151D" w:rsidP="00111A8A">
      <w:pPr>
        <w:jc w:val="center"/>
        <w:rPr>
          <w:rFonts w:ascii="Arial" w:hAnsi="Arial" w:cs="Arial"/>
          <w:b/>
        </w:rPr>
      </w:pPr>
    </w:p>
    <w:p w14:paraId="0B91BD67" w14:textId="4B34D669" w:rsidR="00F46659" w:rsidRPr="00320D2B" w:rsidRDefault="00F46659" w:rsidP="00743226">
      <w:pPr>
        <w:ind w:left="-180"/>
        <w:jc w:val="both"/>
        <w:rPr>
          <w:rFonts w:ascii="Arial" w:eastAsia="Times New Roman" w:hAnsi="Arial" w:cs="Arial"/>
          <w:u w:val="single"/>
        </w:rPr>
      </w:pPr>
      <w:r w:rsidRPr="00320D2B">
        <w:rPr>
          <w:rFonts w:ascii="Arial" w:hAnsi="Arial" w:cs="Arial"/>
        </w:rPr>
        <w:t xml:space="preserve">Το Τμήμα Ηλεκτρομηχανολογικών Υπηρεσιών, ως η αρμόδια υπηρεσία για την εφαρμογή των προνοιών της περί Ηλεκτρισμού Νομοθεσίας, περιλαμβανομένων και των προνοιών του προτύπου </w:t>
      </w:r>
      <w:r w:rsidRPr="00320D2B">
        <w:rPr>
          <w:rFonts w:ascii="Arial" w:hAnsi="Arial" w:cs="Arial"/>
          <w:lang w:val="en-GB"/>
        </w:rPr>
        <w:t>BS</w:t>
      </w:r>
      <w:r w:rsidRPr="00320D2B">
        <w:rPr>
          <w:rFonts w:ascii="Arial" w:hAnsi="Arial" w:cs="Arial"/>
        </w:rPr>
        <w:t xml:space="preserve"> 7671:2008 (2015) – 17η Έκδοση των Κανονισμών για τις ηλεκτρολογικές εγκαταστάσεις όπως έχει καθοριστεί με το Βασικό Διάταγμα Κ.Δ.Π. 168/2017 και το Τροποποιητικό Διάταγμα Κ.Δ.Π. 58/2018 που εξέδωσε ο Υπουργός Μεταφορών</w:t>
      </w:r>
      <w:r w:rsidR="00131E3F">
        <w:rPr>
          <w:rFonts w:ascii="Arial" w:hAnsi="Arial" w:cs="Arial"/>
        </w:rPr>
        <w:t>,</w:t>
      </w:r>
      <w:r w:rsidR="00131E3F" w:rsidRPr="00131E3F">
        <w:rPr>
          <w:rFonts w:ascii="Arial" w:hAnsi="Arial" w:cs="Arial"/>
        </w:rPr>
        <w:t xml:space="preserve"> </w:t>
      </w:r>
      <w:r w:rsidR="00131E3F" w:rsidRPr="00320D2B">
        <w:rPr>
          <w:rFonts w:ascii="Arial" w:hAnsi="Arial" w:cs="Arial"/>
        </w:rPr>
        <w:t>Επικοινωνιών</w:t>
      </w:r>
      <w:r w:rsidRPr="00320D2B">
        <w:rPr>
          <w:rFonts w:ascii="Arial" w:hAnsi="Arial" w:cs="Arial"/>
        </w:rPr>
        <w:t xml:space="preserve"> και Έργων, ενημερώνει όσους εμπλέκονται με τα θέματα που αφορούν τις ηλεκτρικές εγκαταστάσεις οι οποίες εμπίπτουν στην περί Ηλεκτρισμού Νομοθεσία</w:t>
      </w:r>
      <w:r w:rsidR="004C151D" w:rsidRPr="00320D2B">
        <w:rPr>
          <w:rFonts w:ascii="Arial" w:hAnsi="Arial" w:cs="Arial"/>
        </w:rPr>
        <w:t xml:space="preserve"> για τα πιο κάτω:</w:t>
      </w:r>
    </w:p>
    <w:p w14:paraId="15181F7C" w14:textId="633EE66A" w:rsidR="001A7364" w:rsidRPr="001A7364" w:rsidRDefault="007A4D86" w:rsidP="00473A90">
      <w:pPr>
        <w:ind w:left="-142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Α. </w:t>
      </w:r>
      <w:r w:rsidR="0018725A">
        <w:rPr>
          <w:rFonts w:ascii="Arial" w:eastAsia="Calibri" w:hAnsi="Arial" w:cs="Arial"/>
          <w:b/>
          <w:u w:val="single"/>
        </w:rPr>
        <w:t>Κ</w:t>
      </w:r>
      <w:r w:rsidR="001A7364" w:rsidRPr="001A7364">
        <w:rPr>
          <w:rFonts w:ascii="Arial" w:eastAsia="Calibri" w:hAnsi="Arial" w:cs="Arial"/>
          <w:b/>
          <w:u w:val="single"/>
        </w:rPr>
        <w:t xml:space="preserve">εντρική προστατευτική συσκευή </w:t>
      </w:r>
      <w:r w:rsidR="0018725A">
        <w:rPr>
          <w:rFonts w:ascii="Arial" w:eastAsia="Calibri" w:hAnsi="Arial" w:cs="Arial"/>
          <w:b/>
          <w:u w:val="single"/>
        </w:rPr>
        <w:t xml:space="preserve">της ηλεκτρολογικής εγκατάστασης </w:t>
      </w:r>
      <w:r w:rsidR="00DA734A">
        <w:rPr>
          <w:rFonts w:ascii="Arial" w:eastAsia="Calibri" w:hAnsi="Arial" w:cs="Arial"/>
          <w:b/>
          <w:u w:val="single"/>
        </w:rPr>
        <w:t xml:space="preserve">– </w:t>
      </w:r>
      <w:r w:rsidR="000270E9">
        <w:rPr>
          <w:rFonts w:ascii="Arial" w:eastAsia="Calibri" w:hAnsi="Arial" w:cs="Arial"/>
          <w:b/>
          <w:u w:val="single"/>
        </w:rPr>
        <w:t>Χρήση</w:t>
      </w:r>
      <w:r w:rsidR="00DA734A">
        <w:rPr>
          <w:rFonts w:ascii="Arial" w:eastAsia="Calibri" w:hAnsi="Arial" w:cs="Arial"/>
          <w:b/>
          <w:u w:val="single"/>
        </w:rPr>
        <w:t xml:space="preserve"> </w:t>
      </w:r>
      <w:r w:rsidR="001A7364" w:rsidRPr="001A7364">
        <w:rPr>
          <w:rFonts w:ascii="Arial" w:eastAsia="Calibri" w:hAnsi="Arial" w:cs="Arial"/>
          <w:b/>
          <w:u w:val="single"/>
          <w:lang w:val="en-US"/>
        </w:rPr>
        <w:t>MCB</w:t>
      </w:r>
      <w:r w:rsidR="001A7364" w:rsidRPr="001A7364">
        <w:rPr>
          <w:rFonts w:ascii="Arial" w:eastAsia="Calibri" w:hAnsi="Arial" w:cs="Arial"/>
          <w:b/>
          <w:u w:val="single"/>
        </w:rPr>
        <w:t xml:space="preserve"> &amp; </w:t>
      </w:r>
      <w:r w:rsidR="001A7364" w:rsidRPr="001A7364">
        <w:rPr>
          <w:rFonts w:ascii="Arial" w:eastAsia="Calibri" w:hAnsi="Arial" w:cs="Arial"/>
          <w:b/>
          <w:u w:val="single"/>
          <w:lang w:val="en-US"/>
        </w:rPr>
        <w:t>RCD</w:t>
      </w:r>
      <w:r w:rsidR="000270E9">
        <w:rPr>
          <w:rFonts w:ascii="Arial" w:eastAsia="Calibri" w:hAnsi="Arial" w:cs="Arial"/>
          <w:b/>
          <w:u w:val="single"/>
        </w:rPr>
        <w:t xml:space="preserve"> σε σειρά</w:t>
      </w:r>
    </w:p>
    <w:p w14:paraId="7BCAB790" w14:textId="7F1A6013" w:rsidR="00DA734A" w:rsidRDefault="001A7364" w:rsidP="00473A90">
      <w:pPr>
        <w:ind w:left="-142"/>
        <w:jc w:val="both"/>
        <w:rPr>
          <w:rFonts w:ascii="Arial" w:eastAsia="Calibri" w:hAnsi="Arial" w:cs="Arial"/>
        </w:rPr>
      </w:pPr>
      <w:r w:rsidRPr="001A7364">
        <w:rPr>
          <w:rFonts w:ascii="Arial" w:eastAsia="Calibri" w:hAnsi="Arial" w:cs="Arial"/>
        </w:rPr>
        <w:t xml:space="preserve">Σύμφωνα με τον </w:t>
      </w:r>
      <w:r w:rsidRPr="001A7364">
        <w:rPr>
          <w:rFonts w:ascii="Arial" w:eastAsia="Calibri" w:hAnsi="Arial" w:cs="Arial"/>
          <w:bCs/>
        </w:rPr>
        <w:t xml:space="preserve">Κανονισμό 531.2.8, όπου χρησιμοποιείται </w:t>
      </w:r>
      <w:r w:rsidRPr="001A7364">
        <w:rPr>
          <w:rFonts w:ascii="Arial" w:eastAsia="Calibri" w:hAnsi="Arial" w:cs="Arial"/>
          <w:lang w:val="en-US"/>
        </w:rPr>
        <w:t>RCD</w:t>
      </w:r>
      <w:r w:rsidRPr="001A7364">
        <w:rPr>
          <w:rFonts w:ascii="Arial" w:eastAsia="Calibri" w:hAnsi="Arial" w:cs="Arial"/>
        </w:rPr>
        <w:t xml:space="preserve"> για προστασία έναντι βλάβης με ξεχωριστή συσκευή για προστασία έναντι υπερέντασης θα πρέπει </w:t>
      </w:r>
      <w:r w:rsidRPr="001A7364">
        <w:rPr>
          <w:rFonts w:ascii="Arial" w:eastAsia="Calibri" w:hAnsi="Arial" w:cs="Arial"/>
          <w:b/>
          <w:bCs/>
          <w:u w:val="single"/>
        </w:rPr>
        <w:t>να εξακριβώνεται</w:t>
      </w:r>
      <w:r w:rsidRPr="001A7364">
        <w:rPr>
          <w:rFonts w:ascii="Arial" w:eastAsia="Calibri" w:hAnsi="Arial" w:cs="Arial"/>
        </w:rPr>
        <w:t xml:space="preserve"> ότι το </w:t>
      </w:r>
      <w:r w:rsidRPr="001A7364">
        <w:rPr>
          <w:rFonts w:ascii="Arial" w:eastAsia="Calibri" w:hAnsi="Arial" w:cs="Arial"/>
          <w:lang w:val="en-US"/>
        </w:rPr>
        <w:t>RCD</w:t>
      </w:r>
      <w:r w:rsidRPr="001A7364">
        <w:rPr>
          <w:rFonts w:ascii="Arial" w:eastAsia="Calibri" w:hAnsi="Arial" w:cs="Arial"/>
        </w:rPr>
        <w:t xml:space="preserve"> μπορεί να αντέξει χωρίς να υποστεί οποιαδήποτε βλάβη, τις θερμικές και μηχανικές καταπονήσεις που πιθανόν να προκληθούν λόγω σφάλματος κατάντη (</w:t>
      </w:r>
      <w:r w:rsidRPr="001A7364">
        <w:rPr>
          <w:rFonts w:ascii="Arial" w:eastAsia="Calibri" w:hAnsi="Arial" w:cs="Arial"/>
          <w:lang w:val="en-US"/>
        </w:rPr>
        <w:t>downstream</w:t>
      </w:r>
      <w:r w:rsidRPr="001A7364">
        <w:rPr>
          <w:rFonts w:ascii="Arial" w:eastAsia="Calibri" w:hAnsi="Arial" w:cs="Arial"/>
        </w:rPr>
        <w:t xml:space="preserve">) του </w:t>
      </w:r>
      <w:r w:rsidRPr="001A7364">
        <w:rPr>
          <w:rFonts w:ascii="Arial" w:eastAsia="Calibri" w:hAnsi="Arial" w:cs="Arial"/>
          <w:lang w:val="en-US"/>
        </w:rPr>
        <w:t>RCD</w:t>
      </w:r>
      <w:r w:rsidRPr="001A7364">
        <w:rPr>
          <w:rFonts w:ascii="Arial" w:eastAsia="Calibri" w:hAnsi="Arial" w:cs="Arial"/>
        </w:rPr>
        <w:t xml:space="preserve">. </w:t>
      </w:r>
    </w:p>
    <w:p w14:paraId="597C8215" w14:textId="5FBA227A" w:rsidR="001A7364" w:rsidRPr="00DE0FA1" w:rsidRDefault="001A7364" w:rsidP="005D6652">
      <w:pPr>
        <w:ind w:left="-142"/>
        <w:jc w:val="both"/>
        <w:rPr>
          <w:rFonts w:ascii="Arial" w:eastAsia="Calibri" w:hAnsi="Arial" w:cs="Arial"/>
        </w:rPr>
      </w:pPr>
      <w:r w:rsidRPr="001A7364">
        <w:rPr>
          <w:rFonts w:ascii="Arial" w:eastAsia="Calibri" w:hAnsi="Arial" w:cs="Arial"/>
        </w:rPr>
        <w:t>Επίσης</w:t>
      </w:r>
      <w:r w:rsidRPr="00DE0FA1">
        <w:rPr>
          <w:rFonts w:ascii="Arial" w:eastAsia="Calibri" w:hAnsi="Arial" w:cs="Arial"/>
        </w:rPr>
        <w:t xml:space="preserve"> </w:t>
      </w:r>
      <w:r w:rsidRPr="001A7364">
        <w:rPr>
          <w:rFonts w:ascii="Arial" w:eastAsia="Calibri" w:hAnsi="Arial" w:cs="Arial"/>
        </w:rPr>
        <w:t>στο</w:t>
      </w:r>
      <w:r w:rsidRPr="00DE0FA1">
        <w:rPr>
          <w:rFonts w:ascii="Arial" w:eastAsia="Calibri" w:hAnsi="Arial" w:cs="Arial"/>
        </w:rPr>
        <w:t xml:space="preserve"> </w:t>
      </w:r>
      <w:r w:rsidRPr="001A7364">
        <w:rPr>
          <w:rFonts w:ascii="Arial" w:eastAsia="Calibri" w:hAnsi="Arial" w:cs="Arial"/>
        </w:rPr>
        <w:t>Πρότυπο</w:t>
      </w:r>
      <w:r w:rsidRPr="00DE0FA1">
        <w:rPr>
          <w:rFonts w:ascii="Arial" w:eastAsia="Calibri" w:hAnsi="Arial" w:cs="Arial"/>
        </w:rPr>
        <w:t xml:space="preserve"> </w:t>
      </w:r>
      <w:r w:rsidRPr="001A7364">
        <w:rPr>
          <w:rFonts w:ascii="Arial" w:eastAsia="Calibri" w:hAnsi="Arial" w:cs="Arial"/>
        </w:rPr>
        <w:t>ΕΝ</w:t>
      </w:r>
      <w:r w:rsidRPr="00DE0FA1">
        <w:rPr>
          <w:rFonts w:ascii="Arial" w:eastAsia="Calibri" w:hAnsi="Arial" w:cs="Arial"/>
        </w:rPr>
        <w:t xml:space="preserve">61008 </w:t>
      </w:r>
      <w:r w:rsidR="000270E9" w:rsidRPr="00DE0FA1">
        <w:rPr>
          <w:rFonts w:ascii="Arial" w:eastAsia="Calibri" w:hAnsi="Arial" w:cs="Arial"/>
        </w:rPr>
        <w:t xml:space="preserve">- </w:t>
      </w:r>
      <w:r w:rsidR="00AA034F" w:rsidRPr="00DE0FA1">
        <w:rPr>
          <w:rFonts w:ascii="Arial" w:eastAsia="Calibri" w:hAnsi="Arial" w:cs="Arial"/>
        </w:rPr>
        <w:t xml:space="preserve">– </w:t>
      </w:r>
      <w:r w:rsidR="00AA034F">
        <w:rPr>
          <w:rFonts w:ascii="Arial" w:eastAsia="Calibri" w:hAnsi="Arial" w:cs="Arial"/>
        </w:rPr>
        <w:t>προδιαγραφές</w:t>
      </w:r>
      <w:r w:rsidR="00AA034F" w:rsidRPr="00DE0FA1">
        <w:rPr>
          <w:rFonts w:ascii="Arial" w:eastAsia="Calibri" w:hAnsi="Arial" w:cs="Arial"/>
        </w:rPr>
        <w:t xml:space="preserve"> </w:t>
      </w:r>
      <w:r w:rsidR="00AA034F">
        <w:rPr>
          <w:rFonts w:ascii="Arial" w:eastAsia="Calibri" w:hAnsi="Arial" w:cs="Arial"/>
        </w:rPr>
        <w:t>για</w:t>
      </w:r>
      <w:r w:rsidR="00AA034F" w:rsidRPr="00DE0FA1">
        <w:rPr>
          <w:rFonts w:ascii="Arial" w:eastAsia="Calibri" w:hAnsi="Arial" w:cs="Arial"/>
        </w:rPr>
        <w:t xml:space="preserve"> </w:t>
      </w:r>
      <w:r w:rsidR="00AA034F" w:rsidRPr="00855E00">
        <w:rPr>
          <w:rFonts w:ascii="Arial" w:eastAsia="Calibri" w:hAnsi="Arial" w:cs="Arial"/>
        </w:rPr>
        <w:t>Αυτόματο</w:t>
      </w:r>
      <w:r w:rsidR="00AA034F">
        <w:rPr>
          <w:rFonts w:ascii="Arial" w:eastAsia="Calibri" w:hAnsi="Arial" w:cs="Arial"/>
        </w:rPr>
        <w:t>υς</w:t>
      </w:r>
      <w:r w:rsidR="00AA034F" w:rsidRPr="00DE0FA1">
        <w:rPr>
          <w:rFonts w:ascii="Arial" w:eastAsia="Calibri" w:hAnsi="Arial" w:cs="Arial"/>
        </w:rPr>
        <w:t xml:space="preserve"> </w:t>
      </w:r>
      <w:r w:rsidR="00AA034F" w:rsidRPr="00855E00">
        <w:rPr>
          <w:rFonts w:ascii="Arial" w:eastAsia="Calibri" w:hAnsi="Arial" w:cs="Arial"/>
        </w:rPr>
        <w:t>Διακόπτες</w:t>
      </w:r>
      <w:r w:rsidR="00AA034F" w:rsidRPr="00DE0FA1">
        <w:rPr>
          <w:rFonts w:ascii="Arial" w:eastAsia="Calibri" w:hAnsi="Arial" w:cs="Arial"/>
        </w:rPr>
        <w:t xml:space="preserve"> </w:t>
      </w:r>
      <w:r w:rsidR="00AA034F" w:rsidRPr="00855E00">
        <w:rPr>
          <w:rFonts w:ascii="Arial" w:eastAsia="Calibri" w:hAnsi="Arial" w:cs="Arial"/>
        </w:rPr>
        <w:t>Διαρροής</w:t>
      </w:r>
      <w:r w:rsidR="00AA034F" w:rsidRPr="00DE0FA1">
        <w:rPr>
          <w:rFonts w:ascii="Arial" w:eastAsia="Calibri" w:hAnsi="Arial" w:cs="Arial"/>
        </w:rPr>
        <w:t xml:space="preserve"> (</w:t>
      </w:r>
      <w:r w:rsidR="00AA034F" w:rsidRPr="00C6387B">
        <w:rPr>
          <w:rFonts w:ascii="Arial" w:eastAsia="Calibri" w:hAnsi="Arial" w:cs="Arial"/>
          <w:lang w:val="en-US"/>
        </w:rPr>
        <w:t>RCCBs</w:t>
      </w:r>
      <w:r w:rsidR="00AA034F" w:rsidRPr="00DE0FA1">
        <w:rPr>
          <w:rFonts w:ascii="Arial" w:eastAsia="Calibri" w:hAnsi="Arial" w:cs="Arial"/>
        </w:rPr>
        <w:t xml:space="preserve">), </w:t>
      </w:r>
      <w:r w:rsidRPr="001A7364">
        <w:rPr>
          <w:rFonts w:ascii="Arial" w:eastAsia="Calibri" w:hAnsi="Arial" w:cs="Arial"/>
        </w:rPr>
        <w:t>καθορίζονται</w:t>
      </w:r>
      <w:r w:rsidRPr="00DE0FA1">
        <w:rPr>
          <w:rFonts w:ascii="Arial" w:eastAsia="Calibri" w:hAnsi="Arial" w:cs="Arial"/>
        </w:rPr>
        <w:t xml:space="preserve"> </w:t>
      </w:r>
      <w:r w:rsidRPr="001A7364">
        <w:rPr>
          <w:rFonts w:ascii="Arial" w:eastAsia="Calibri" w:hAnsi="Arial" w:cs="Arial"/>
        </w:rPr>
        <w:t>τα</w:t>
      </w:r>
      <w:r w:rsidRPr="00DE0FA1">
        <w:rPr>
          <w:rFonts w:ascii="Arial" w:eastAsia="Calibri" w:hAnsi="Arial" w:cs="Arial"/>
        </w:rPr>
        <w:t xml:space="preserve"> </w:t>
      </w:r>
      <w:r w:rsidRPr="001A7364">
        <w:rPr>
          <w:rFonts w:ascii="Arial" w:eastAsia="Calibri" w:hAnsi="Arial" w:cs="Arial"/>
        </w:rPr>
        <w:t>εξής</w:t>
      </w:r>
      <w:bookmarkStart w:id="0" w:name="_Hlk125474792"/>
      <w:r w:rsidRPr="00DE0FA1">
        <w:rPr>
          <w:rFonts w:ascii="Arial" w:eastAsia="Calibri" w:hAnsi="Arial" w:cs="Arial"/>
        </w:rPr>
        <w:t>:</w:t>
      </w:r>
      <w:bookmarkEnd w:id="0"/>
    </w:p>
    <w:p w14:paraId="1200F928" w14:textId="5921464B" w:rsidR="008453DC" w:rsidRPr="008453DC" w:rsidRDefault="00282A20" w:rsidP="008453DC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Στην </w:t>
      </w:r>
      <w:r w:rsidR="00AA034F" w:rsidRPr="00AA034F">
        <w:rPr>
          <w:rFonts w:ascii="Arial" w:eastAsia="Calibri" w:hAnsi="Arial" w:cs="Arial"/>
        </w:rPr>
        <w:t xml:space="preserve">παράγραφο 5.4 </w:t>
      </w:r>
      <w:r>
        <w:rPr>
          <w:rFonts w:ascii="Arial" w:eastAsia="Calibri" w:hAnsi="Arial" w:cs="Arial"/>
        </w:rPr>
        <w:t>του προτύπου ο</w:t>
      </w:r>
      <w:r w:rsidR="00AA034F" w:rsidRPr="00AA034F">
        <w:rPr>
          <w:rFonts w:ascii="Arial" w:eastAsia="Calibri" w:hAnsi="Arial" w:cs="Arial"/>
        </w:rPr>
        <w:t xml:space="preserve"> συντονισμός</w:t>
      </w:r>
      <w:r>
        <w:rPr>
          <w:rFonts w:ascii="Arial" w:eastAsia="Calibri" w:hAnsi="Arial" w:cs="Arial"/>
        </w:rPr>
        <w:t xml:space="preserve"> μεταξύ</w:t>
      </w:r>
      <w:r w:rsidRPr="00DE0FA1">
        <w:rPr>
          <w:rFonts w:ascii="Arial" w:eastAsia="Calibri" w:hAnsi="Arial" w:cs="Arial"/>
        </w:rPr>
        <w:t xml:space="preserve"> </w:t>
      </w:r>
      <w:bookmarkStart w:id="1" w:name="_Hlk127810156"/>
      <w:r w:rsidRPr="00AA034F">
        <w:rPr>
          <w:rFonts w:ascii="Arial" w:eastAsia="Calibri" w:hAnsi="Arial" w:cs="Arial"/>
          <w:lang w:val="en-US"/>
        </w:rPr>
        <w:t>RCCBs</w:t>
      </w:r>
      <w:bookmarkEnd w:id="1"/>
      <w:r w:rsidRPr="00AA034F">
        <w:rPr>
          <w:rFonts w:ascii="Arial" w:eastAsia="Calibri" w:hAnsi="Arial" w:cs="Arial"/>
        </w:rPr>
        <w:t xml:space="preserve"> και </w:t>
      </w:r>
      <w:r>
        <w:rPr>
          <w:rFonts w:ascii="Arial" w:eastAsia="Calibri" w:hAnsi="Arial" w:cs="Arial"/>
        </w:rPr>
        <w:t>συσκευών προστασίας έναντι υπερέντασης (</w:t>
      </w:r>
      <w:r w:rsidRPr="00AA034F">
        <w:rPr>
          <w:rFonts w:ascii="Arial" w:eastAsia="Calibri" w:hAnsi="Arial" w:cs="Arial"/>
          <w:lang w:val="en-US"/>
        </w:rPr>
        <w:t>SCPD</w:t>
      </w:r>
      <w:r>
        <w:rPr>
          <w:rFonts w:ascii="Arial" w:eastAsia="Calibri" w:hAnsi="Arial" w:cs="Arial"/>
          <w:lang w:val="en-US"/>
        </w:rPr>
        <w:t>s</w:t>
      </w:r>
      <w:r>
        <w:rPr>
          <w:rFonts w:ascii="Arial" w:eastAsia="Calibri" w:hAnsi="Arial" w:cs="Arial"/>
        </w:rPr>
        <w:t xml:space="preserve">) θα </w:t>
      </w:r>
      <w:r w:rsidR="00AA034F" w:rsidRPr="00AA034F">
        <w:rPr>
          <w:rFonts w:ascii="Arial" w:eastAsia="Calibri" w:hAnsi="Arial" w:cs="Arial"/>
        </w:rPr>
        <w:t xml:space="preserve"> πρέπει να επιβεβαιώνεται (</w:t>
      </w:r>
      <w:r w:rsidR="00AA034F" w:rsidRPr="00AA034F">
        <w:rPr>
          <w:rFonts w:ascii="Arial" w:eastAsia="Calibri" w:hAnsi="Arial" w:cs="Arial"/>
          <w:b/>
          <w:lang w:val="en-US"/>
        </w:rPr>
        <w:t>shall</w:t>
      </w:r>
      <w:r w:rsidR="00AA034F" w:rsidRPr="00AA034F">
        <w:rPr>
          <w:rFonts w:ascii="Arial" w:eastAsia="Calibri" w:hAnsi="Arial" w:cs="Arial"/>
          <w:b/>
        </w:rPr>
        <w:t xml:space="preserve"> </w:t>
      </w:r>
      <w:r w:rsidR="00AA034F" w:rsidRPr="00AA034F">
        <w:rPr>
          <w:rFonts w:ascii="Arial" w:eastAsia="Calibri" w:hAnsi="Arial" w:cs="Arial"/>
          <w:b/>
          <w:lang w:val="en-US"/>
        </w:rPr>
        <w:t>be</w:t>
      </w:r>
      <w:r w:rsidR="00AA034F" w:rsidRPr="00AA034F">
        <w:rPr>
          <w:rFonts w:ascii="Arial" w:eastAsia="Calibri" w:hAnsi="Arial" w:cs="Arial"/>
          <w:b/>
        </w:rPr>
        <w:t xml:space="preserve"> </w:t>
      </w:r>
      <w:r w:rsidR="00AA034F" w:rsidRPr="00AA034F">
        <w:rPr>
          <w:rFonts w:ascii="Arial" w:eastAsia="Calibri" w:hAnsi="Arial" w:cs="Arial"/>
          <w:b/>
          <w:lang w:val="en-US"/>
        </w:rPr>
        <w:t>verified</w:t>
      </w:r>
      <w:r w:rsidR="00AA034F" w:rsidRPr="00AA034F">
        <w:rPr>
          <w:rFonts w:ascii="Arial" w:eastAsia="Calibri" w:hAnsi="Arial" w:cs="Arial"/>
          <w:b/>
        </w:rPr>
        <w:t xml:space="preserve">) </w:t>
      </w:r>
      <w:r w:rsidRPr="00DE0FA1">
        <w:rPr>
          <w:rFonts w:ascii="Arial" w:eastAsia="Calibri" w:hAnsi="Arial" w:cs="Arial"/>
          <w:bCs/>
        </w:rPr>
        <w:t>στη βάση των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απαιτήσεων που περιγράφονται στην παράγραφο</w:t>
      </w:r>
      <w:r w:rsidR="00AA034F" w:rsidRPr="00AA034F">
        <w:rPr>
          <w:rFonts w:ascii="Arial" w:eastAsia="Calibri" w:hAnsi="Arial" w:cs="Arial"/>
        </w:rPr>
        <w:t xml:space="preserve"> 9.11.2.1</w:t>
      </w:r>
      <w:r>
        <w:rPr>
          <w:rFonts w:ascii="Arial" w:eastAsia="Calibri" w:hAnsi="Arial" w:cs="Arial"/>
        </w:rPr>
        <w:t xml:space="preserve"> του προτύπου, κατόπιν ελέγχων (</w:t>
      </w:r>
      <w:r>
        <w:rPr>
          <w:rFonts w:ascii="Arial" w:eastAsia="Calibri" w:hAnsi="Arial" w:cs="Arial"/>
          <w:lang w:val="en-GB"/>
        </w:rPr>
        <w:t>tests</w:t>
      </w:r>
      <w:r w:rsidRPr="00DE0FA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σύμφωνα με την</w:t>
      </w:r>
      <w:r w:rsidR="00AA034F" w:rsidRPr="00AA034F">
        <w:rPr>
          <w:rFonts w:ascii="Arial" w:eastAsia="Calibri" w:hAnsi="Arial" w:cs="Arial"/>
        </w:rPr>
        <w:t xml:space="preserve"> παράγραφο </w:t>
      </w:r>
      <w:r w:rsidR="00AA034F" w:rsidRPr="00AA034F">
        <w:rPr>
          <w:rFonts w:ascii="Arial" w:eastAsia="Calibri" w:hAnsi="Arial" w:cs="Arial"/>
          <w:b/>
        </w:rPr>
        <w:t xml:space="preserve"> 9.11.2.4</w:t>
      </w:r>
      <w:r>
        <w:rPr>
          <w:rFonts w:ascii="Arial" w:eastAsia="Calibri" w:hAnsi="Arial" w:cs="Arial"/>
          <w:b/>
        </w:rPr>
        <w:t>.</w:t>
      </w:r>
      <w:r w:rsidR="00AA034F" w:rsidRPr="00AA034F">
        <w:rPr>
          <w:rFonts w:ascii="Arial" w:eastAsia="Calibri" w:hAnsi="Arial" w:cs="Arial"/>
          <w:b/>
        </w:rPr>
        <w:t xml:space="preserve"> </w:t>
      </w:r>
    </w:p>
    <w:p w14:paraId="6C9294D1" w14:textId="77777777" w:rsidR="008453DC" w:rsidRPr="00AA034F" w:rsidRDefault="008453DC" w:rsidP="008453DC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  <w:bookmarkStart w:id="2" w:name="_GoBack"/>
      <w:bookmarkEnd w:id="2"/>
    </w:p>
    <w:p w14:paraId="15DFA035" w14:textId="70F3B347" w:rsidR="00AA034F" w:rsidRDefault="00282A20" w:rsidP="00AA034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Στην </w:t>
      </w:r>
      <w:r w:rsidR="00AA034F" w:rsidRPr="00AA034F">
        <w:rPr>
          <w:rFonts w:ascii="Arial" w:eastAsia="Calibri" w:hAnsi="Arial" w:cs="Arial"/>
        </w:rPr>
        <w:t xml:space="preserve">παράγραφο 6 </w:t>
      </w:r>
      <w:r>
        <w:rPr>
          <w:rFonts w:ascii="Arial" w:eastAsia="Calibri" w:hAnsi="Arial" w:cs="Arial"/>
        </w:rPr>
        <w:t xml:space="preserve">του προτύπου αναφέρεται ότι ο κατασκευαστής των </w:t>
      </w:r>
      <w:r w:rsidRPr="00AA034F">
        <w:rPr>
          <w:rFonts w:ascii="Arial" w:eastAsia="Calibri" w:hAnsi="Arial" w:cs="Arial"/>
          <w:lang w:val="en-US"/>
        </w:rPr>
        <w:t>RCCBs</w:t>
      </w:r>
      <w:r>
        <w:rPr>
          <w:rFonts w:ascii="Arial" w:eastAsia="Calibri" w:hAnsi="Arial" w:cs="Arial"/>
        </w:rPr>
        <w:t xml:space="preserve"> θα πρέπει να καθορίζει στον κατάλογο του και στο φυλλάδιο που συνοδεύει κάθε </w:t>
      </w:r>
      <w:r w:rsidRPr="00AA034F">
        <w:rPr>
          <w:rFonts w:ascii="Arial" w:eastAsia="Calibri" w:hAnsi="Arial" w:cs="Arial"/>
          <w:lang w:val="en-US"/>
        </w:rPr>
        <w:t>RCCB</w:t>
      </w:r>
      <w:r w:rsidR="00FE51C8">
        <w:rPr>
          <w:rFonts w:ascii="Arial" w:eastAsia="Calibri" w:hAnsi="Arial" w:cs="Arial"/>
        </w:rPr>
        <w:t>, μία ή περισσότερες συσκευές προστασίας έναντι υπερέντασης</w:t>
      </w:r>
      <w:r>
        <w:rPr>
          <w:rFonts w:ascii="Arial" w:eastAsia="Calibri" w:hAnsi="Arial" w:cs="Arial"/>
        </w:rPr>
        <w:t xml:space="preserve"> </w:t>
      </w:r>
      <w:r w:rsidR="00FE51C8">
        <w:rPr>
          <w:rFonts w:ascii="Arial" w:eastAsia="Calibri" w:hAnsi="Arial" w:cs="Arial"/>
        </w:rPr>
        <w:t>(</w:t>
      </w:r>
      <w:r w:rsidR="00FE51C8" w:rsidRPr="00AA034F">
        <w:rPr>
          <w:rFonts w:ascii="Arial" w:eastAsia="Calibri" w:hAnsi="Arial" w:cs="Arial"/>
          <w:lang w:val="en-US"/>
        </w:rPr>
        <w:t>SCPDs</w:t>
      </w:r>
      <w:r w:rsidR="00FE51C8">
        <w:rPr>
          <w:rFonts w:ascii="Arial" w:eastAsia="Calibri" w:hAnsi="Arial" w:cs="Arial"/>
        </w:rPr>
        <w:t>) οι οποίες να είναι κατάλληλες για συντονισμό με το</w:t>
      </w:r>
      <w:r w:rsidR="00FE51C8" w:rsidRPr="00DE0FA1">
        <w:rPr>
          <w:rFonts w:ascii="Arial" w:eastAsia="Calibri" w:hAnsi="Arial" w:cs="Arial"/>
        </w:rPr>
        <w:t xml:space="preserve"> </w:t>
      </w:r>
      <w:r w:rsidR="00FE51C8" w:rsidRPr="00AA034F">
        <w:rPr>
          <w:rFonts w:ascii="Arial" w:eastAsia="Calibri" w:hAnsi="Arial" w:cs="Arial"/>
          <w:lang w:val="en-US"/>
        </w:rPr>
        <w:t>RCCB</w:t>
      </w:r>
      <w:r w:rsidR="00FE51C8">
        <w:rPr>
          <w:rFonts w:ascii="Arial" w:eastAsia="Calibri" w:hAnsi="Arial" w:cs="Arial"/>
        </w:rPr>
        <w:t>.</w:t>
      </w:r>
      <w:r w:rsidR="00AA034F" w:rsidRPr="00AA034F">
        <w:rPr>
          <w:rFonts w:ascii="Arial" w:eastAsia="Calibri" w:hAnsi="Arial" w:cs="Arial"/>
        </w:rPr>
        <w:t xml:space="preserve"> </w:t>
      </w:r>
    </w:p>
    <w:p w14:paraId="6D3FBEE3" w14:textId="77777777" w:rsidR="00AA034F" w:rsidRPr="00AA034F" w:rsidRDefault="00AA034F" w:rsidP="00C6387B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</w:p>
    <w:p w14:paraId="3F11CCD3" w14:textId="375BB31C" w:rsidR="00AA034F" w:rsidRPr="00AA034F" w:rsidRDefault="00FE51C8" w:rsidP="00AA034F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 xml:space="preserve">Στον Πίνακα 18 της </w:t>
      </w:r>
      <w:r w:rsidR="00AA034F" w:rsidRPr="00AA034F">
        <w:rPr>
          <w:rFonts w:ascii="Arial" w:eastAsia="Calibri" w:hAnsi="Arial" w:cs="Arial"/>
        </w:rPr>
        <w:t>παρ</w:t>
      </w:r>
      <w:r>
        <w:rPr>
          <w:rFonts w:ascii="Arial" w:eastAsia="Calibri" w:hAnsi="Arial" w:cs="Arial"/>
        </w:rPr>
        <w:t>α</w:t>
      </w:r>
      <w:r w:rsidR="00AA034F" w:rsidRPr="00AA034F">
        <w:rPr>
          <w:rFonts w:ascii="Arial" w:eastAsia="Calibri" w:hAnsi="Arial" w:cs="Arial"/>
        </w:rPr>
        <w:t>γρ</w:t>
      </w:r>
      <w:r>
        <w:rPr>
          <w:rFonts w:ascii="Arial" w:eastAsia="Calibri" w:hAnsi="Arial" w:cs="Arial"/>
        </w:rPr>
        <w:t>ά</w:t>
      </w:r>
      <w:r w:rsidR="00AA034F" w:rsidRPr="00AA034F">
        <w:rPr>
          <w:rFonts w:ascii="Arial" w:eastAsia="Calibri" w:hAnsi="Arial" w:cs="Arial"/>
        </w:rPr>
        <w:t>φο</w:t>
      </w:r>
      <w:r>
        <w:rPr>
          <w:rFonts w:ascii="Arial" w:eastAsia="Calibri" w:hAnsi="Arial" w:cs="Arial"/>
        </w:rPr>
        <w:t>υ</w:t>
      </w:r>
      <w:r w:rsidR="00AA034F" w:rsidRPr="00AA034F">
        <w:rPr>
          <w:rFonts w:ascii="Arial" w:eastAsia="Calibri" w:hAnsi="Arial" w:cs="Arial"/>
        </w:rPr>
        <w:t xml:space="preserve"> 9.11.2 </w:t>
      </w:r>
      <w:r>
        <w:rPr>
          <w:rFonts w:ascii="Arial" w:eastAsia="Calibri" w:hAnsi="Arial" w:cs="Arial"/>
        </w:rPr>
        <w:t>του προτύπου καθορίζονται οι ελάχιστες</w:t>
      </w:r>
      <w:r w:rsidR="00AA034F" w:rsidRPr="00AA034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τιμές </w:t>
      </w:r>
      <w:r w:rsidR="00AA034F" w:rsidRPr="00AA034F">
        <w:rPr>
          <w:rFonts w:ascii="Arial" w:eastAsia="Calibri" w:hAnsi="Arial" w:cs="Arial"/>
        </w:rPr>
        <w:t xml:space="preserve"> του </w:t>
      </w:r>
      <w:r w:rsidR="00AA034F" w:rsidRPr="00AA034F">
        <w:rPr>
          <w:rFonts w:ascii="Arial" w:eastAsia="Calibri" w:hAnsi="Arial" w:cs="Arial"/>
          <w:i/>
          <w:lang w:val="en-US"/>
        </w:rPr>
        <w:t>I</w:t>
      </w:r>
      <w:r w:rsidR="00AA034F" w:rsidRPr="00AA034F">
        <w:rPr>
          <w:rFonts w:ascii="Arial" w:eastAsia="Calibri" w:hAnsi="Arial" w:cs="Arial"/>
          <w:vertAlign w:val="superscript"/>
        </w:rPr>
        <w:t>2</w:t>
      </w:r>
      <w:r w:rsidR="00AA034F" w:rsidRPr="00AA034F">
        <w:rPr>
          <w:rFonts w:ascii="Arial" w:eastAsia="Calibri" w:hAnsi="Arial" w:cs="Arial"/>
          <w:lang w:val="en-US"/>
        </w:rPr>
        <w:t>t</w:t>
      </w:r>
      <w:r w:rsidR="00AA034F" w:rsidRPr="00AA034F">
        <w:rPr>
          <w:rFonts w:ascii="Arial" w:eastAsia="Calibri" w:hAnsi="Arial" w:cs="Arial"/>
        </w:rPr>
        <w:t xml:space="preserve"> και</w:t>
      </w:r>
      <w:r w:rsidR="00AA034F" w:rsidRPr="00AA034F">
        <w:rPr>
          <w:rFonts w:ascii="Arial" w:eastAsia="Calibri" w:hAnsi="Arial" w:cs="Arial"/>
          <w:i/>
        </w:rPr>
        <w:t xml:space="preserve"> </w:t>
      </w:r>
      <w:proofErr w:type="spellStart"/>
      <w:r w:rsidR="00AA034F" w:rsidRPr="00AA034F">
        <w:rPr>
          <w:rFonts w:ascii="Arial" w:eastAsia="Calibri" w:hAnsi="Arial" w:cs="Arial"/>
          <w:i/>
          <w:lang w:val="en-US"/>
        </w:rPr>
        <w:t>I</w:t>
      </w:r>
      <w:r w:rsidR="00AA034F" w:rsidRPr="00AA034F">
        <w:rPr>
          <w:rFonts w:ascii="Arial" w:eastAsia="Calibri" w:hAnsi="Arial" w:cs="Arial"/>
          <w:vertAlign w:val="subscript"/>
          <w:lang w:val="en-US"/>
        </w:rPr>
        <w:t>p</w:t>
      </w:r>
      <w:proofErr w:type="spellEnd"/>
      <w:r w:rsidR="00AA034F" w:rsidRPr="00AA034F">
        <w:rPr>
          <w:rFonts w:ascii="Arial" w:eastAsia="Calibri" w:hAnsi="Arial" w:cs="Arial"/>
          <w:vertAlign w:val="subscript"/>
        </w:rPr>
        <w:t xml:space="preserve">. </w:t>
      </w:r>
      <w:r>
        <w:rPr>
          <w:rFonts w:ascii="Arial" w:eastAsia="Calibri" w:hAnsi="Arial" w:cs="Arial"/>
          <w:vertAlign w:val="subscript"/>
        </w:rPr>
        <w:t xml:space="preserve"> </w:t>
      </w:r>
      <w:r>
        <w:rPr>
          <w:rFonts w:ascii="Arial" w:eastAsia="Calibri" w:hAnsi="Arial" w:cs="Arial"/>
        </w:rPr>
        <w:t xml:space="preserve">Στις περιπτώσεις που ο κατασκευαστής καθορίζει τιμές μεγαλύτερες από τις ελάχιστες, τότε ο </w:t>
      </w:r>
      <w:r w:rsidR="00AF5164">
        <w:rPr>
          <w:rFonts w:ascii="Arial" w:eastAsia="Calibri" w:hAnsi="Arial" w:cs="Arial"/>
        </w:rPr>
        <w:t>συνδυασμός</w:t>
      </w:r>
      <w:r>
        <w:rPr>
          <w:rFonts w:ascii="Arial" w:eastAsia="Calibri" w:hAnsi="Arial" w:cs="Arial"/>
        </w:rPr>
        <w:t xml:space="preserve"> του </w:t>
      </w:r>
      <w:r w:rsidRPr="00AA034F">
        <w:rPr>
          <w:rFonts w:ascii="Arial" w:eastAsia="Calibri" w:hAnsi="Arial" w:cs="Arial"/>
          <w:lang w:val="en-US"/>
        </w:rPr>
        <w:t>RCCB</w:t>
      </w:r>
      <w:r w:rsidRPr="00AA034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με το </w:t>
      </w:r>
      <w:r w:rsidRPr="00AA034F">
        <w:rPr>
          <w:rFonts w:ascii="Arial" w:eastAsia="Calibri" w:hAnsi="Arial" w:cs="Arial"/>
          <w:lang w:val="en-US"/>
        </w:rPr>
        <w:t>SCPD</w:t>
      </w:r>
      <w:r>
        <w:rPr>
          <w:rFonts w:ascii="Arial" w:eastAsia="Calibri" w:hAnsi="Arial" w:cs="Arial"/>
        </w:rPr>
        <w:t xml:space="preserve"> </w:t>
      </w:r>
      <w:r w:rsidR="00AF5164">
        <w:rPr>
          <w:rFonts w:ascii="Arial" w:eastAsia="Calibri" w:hAnsi="Arial" w:cs="Arial"/>
        </w:rPr>
        <w:t>είναι απαραίτητο</w:t>
      </w:r>
      <w:r>
        <w:rPr>
          <w:rFonts w:ascii="Arial" w:eastAsia="Calibri" w:hAnsi="Arial" w:cs="Arial"/>
        </w:rPr>
        <w:t xml:space="preserve"> </w:t>
      </w:r>
      <w:r w:rsidR="00AF5164">
        <w:rPr>
          <w:rFonts w:ascii="Arial" w:eastAsia="Calibri" w:hAnsi="Arial" w:cs="Arial"/>
        </w:rPr>
        <w:t>να τεκμηριώνεται με τη διενέργεια ελέγχων (</w:t>
      </w:r>
      <w:r w:rsidR="00AF5164">
        <w:rPr>
          <w:rFonts w:ascii="Arial" w:eastAsia="Calibri" w:hAnsi="Arial" w:cs="Arial"/>
          <w:lang w:val="en-GB"/>
        </w:rPr>
        <w:t>tests</w:t>
      </w:r>
      <w:r w:rsidR="00AF5164" w:rsidRPr="00FF7163">
        <w:rPr>
          <w:rFonts w:ascii="Arial" w:eastAsia="Calibri" w:hAnsi="Arial" w:cs="Arial"/>
        </w:rPr>
        <w:t>)</w:t>
      </w:r>
      <w:r w:rsidR="00AF5164">
        <w:rPr>
          <w:rFonts w:ascii="Arial" w:eastAsia="Calibri" w:hAnsi="Arial" w:cs="Arial"/>
        </w:rPr>
        <w:t>, όπως αναφέρεται στην παράγραφο 5.4 του προτύπου.</w:t>
      </w:r>
    </w:p>
    <w:p w14:paraId="3364220D" w14:textId="47214CDF" w:rsidR="00DA734A" w:rsidRPr="00AA034F" w:rsidRDefault="00DA734A" w:rsidP="00DA734A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4BBB20C1" w14:textId="70E2E22D" w:rsidR="007A4D86" w:rsidRDefault="001A7364" w:rsidP="0056362E">
      <w:pPr>
        <w:ind w:left="-142"/>
        <w:jc w:val="both"/>
        <w:rPr>
          <w:rFonts w:ascii="Arial" w:eastAsia="Calibri" w:hAnsi="Arial" w:cs="Arial"/>
          <w:u w:val="single"/>
        </w:rPr>
      </w:pPr>
      <w:r w:rsidRPr="001A7364">
        <w:rPr>
          <w:rFonts w:ascii="Arial" w:eastAsia="Calibri" w:hAnsi="Arial" w:cs="Arial"/>
        </w:rPr>
        <w:t xml:space="preserve">Ως εκ των πιο πάνω, </w:t>
      </w:r>
      <w:r w:rsidR="00242DE7">
        <w:rPr>
          <w:rFonts w:ascii="Arial" w:eastAsia="Calibri" w:hAnsi="Arial" w:cs="Arial"/>
        </w:rPr>
        <w:t>σε περίπτωση χρήσης</w:t>
      </w:r>
      <w:r w:rsidR="00AF5164">
        <w:rPr>
          <w:rFonts w:ascii="Arial" w:eastAsia="Calibri" w:hAnsi="Arial" w:cs="Arial"/>
        </w:rPr>
        <w:t xml:space="preserve"> συνδυασμού ανεξάρτητου</w:t>
      </w:r>
      <w:r w:rsidR="00242DE7">
        <w:rPr>
          <w:rFonts w:ascii="Arial" w:eastAsia="Calibri" w:hAnsi="Arial" w:cs="Arial"/>
        </w:rPr>
        <w:t xml:space="preserve"> </w:t>
      </w:r>
      <w:r w:rsidR="004502E1">
        <w:rPr>
          <w:rFonts w:ascii="Arial" w:eastAsia="Calibri" w:hAnsi="Arial" w:cs="Arial"/>
          <w:lang w:val="en-US"/>
        </w:rPr>
        <w:t>MCB</w:t>
      </w:r>
      <w:r w:rsidR="00AF5164">
        <w:rPr>
          <w:rFonts w:ascii="Arial" w:eastAsia="Calibri" w:hAnsi="Arial" w:cs="Arial"/>
        </w:rPr>
        <w:t xml:space="preserve"> ή άλλης συσκευής προστασίας έναντι υπερέντασης και </w:t>
      </w:r>
      <w:r w:rsidR="00AF5164" w:rsidRPr="001A7364">
        <w:rPr>
          <w:rFonts w:ascii="Arial" w:eastAsia="Calibri" w:hAnsi="Arial" w:cs="Arial"/>
          <w:lang w:val="en-US"/>
        </w:rPr>
        <w:t>RCCB</w:t>
      </w:r>
      <w:r w:rsidR="00AF5164">
        <w:rPr>
          <w:rFonts w:ascii="Arial" w:eastAsia="Calibri" w:hAnsi="Arial" w:cs="Arial"/>
        </w:rPr>
        <w:t xml:space="preserve"> τα οποία ουσιαστικά είναι κατασκευασμένα </w:t>
      </w:r>
      <w:r w:rsidR="000D678E">
        <w:rPr>
          <w:rFonts w:ascii="Arial" w:eastAsia="Calibri" w:hAnsi="Arial" w:cs="Arial"/>
        </w:rPr>
        <w:t>σύμφωνα με δύο διαφορετικά πρότυπα</w:t>
      </w:r>
      <w:r w:rsidR="004502E1" w:rsidRPr="004502E1">
        <w:rPr>
          <w:rFonts w:ascii="Arial" w:eastAsia="Calibri" w:hAnsi="Arial" w:cs="Arial"/>
        </w:rPr>
        <w:t xml:space="preserve"> </w:t>
      </w:r>
      <w:r w:rsidR="00AF5164">
        <w:rPr>
          <w:rFonts w:ascii="Arial" w:eastAsia="Calibri" w:hAnsi="Arial" w:cs="Arial"/>
        </w:rPr>
        <w:t xml:space="preserve">απαιτείται να υποβάλλονται μαζί </w:t>
      </w:r>
      <w:r w:rsidR="004502E1">
        <w:rPr>
          <w:rFonts w:ascii="Arial" w:eastAsia="Calibri" w:hAnsi="Arial" w:cs="Arial"/>
        </w:rPr>
        <w:t xml:space="preserve"> </w:t>
      </w:r>
      <w:r w:rsidR="004B3FEE">
        <w:rPr>
          <w:rFonts w:ascii="Arial" w:eastAsia="Calibri" w:hAnsi="Arial" w:cs="Arial"/>
        </w:rPr>
        <w:t>με την αίτηση για επιθεώρηση</w:t>
      </w:r>
      <w:r w:rsidR="009332C2">
        <w:rPr>
          <w:rFonts w:ascii="Arial" w:eastAsia="Calibri" w:hAnsi="Arial" w:cs="Arial"/>
        </w:rPr>
        <w:t xml:space="preserve"> και έλεγχο</w:t>
      </w:r>
      <w:r w:rsidR="00AF5164">
        <w:rPr>
          <w:rFonts w:ascii="Arial" w:eastAsia="Calibri" w:hAnsi="Arial" w:cs="Arial"/>
        </w:rPr>
        <w:t xml:space="preserve"> της ηλεκτρικής</w:t>
      </w:r>
      <w:r w:rsidR="000D678E">
        <w:rPr>
          <w:rFonts w:ascii="Arial" w:eastAsia="Calibri" w:hAnsi="Arial" w:cs="Arial"/>
        </w:rPr>
        <w:t xml:space="preserve"> εγκατάστασης στην οποία περιλαμβάνεται ο εν λόγω συνδυασμός,</w:t>
      </w:r>
      <w:r w:rsidR="004B3FEE">
        <w:rPr>
          <w:rFonts w:ascii="Arial" w:eastAsia="Calibri" w:hAnsi="Arial" w:cs="Arial"/>
        </w:rPr>
        <w:t xml:space="preserve"> αποδεικτικά στοιχεία </w:t>
      </w:r>
      <w:r w:rsidR="000D678E" w:rsidRPr="001A7364">
        <w:rPr>
          <w:rFonts w:ascii="Arial" w:eastAsia="Calibri" w:hAnsi="Arial" w:cs="Arial"/>
        </w:rPr>
        <w:t xml:space="preserve">από τον </w:t>
      </w:r>
      <w:r w:rsidR="000D678E">
        <w:rPr>
          <w:rFonts w:ascii="Arial" w:eastAsia="Calibri" w:hAnsi="Arial" w:cs="Arial"/>
        </w:rPr>
        <w:t>κ</w:t>
      </w:r>
      <w:r w:rsidR="000D678E" w:rsidRPr="001A7364">
        <w:rPr>
          <w:rFonts w:ascii="Arial" w:eastAsia="Calibri" w:hAnsi="Arial" w:cs="Arial"/>
        </w:rPr>
        <w:t xml:space="preserve">ατασκευαστή του </w:t>
      </w:r>
      <w:r w:rsidR="000D678E" w:rsidRPr="001A7364">
        <w:rPr>
          <w:rFonts w:ascii="Arial" w:eastAsia="Calibri" w:hAnsi="Arial" w:cs="Arial"/>
          <w:lang w:val="en-US"/>
        </w:rPr>
        <w:t>RCCB</w:t>
      </w:r>
      <w:r w:rsidR="000D678E">
        <w:rPr>
          <w:rFonts w:ascii="Arial" w:eastAsia="Calibri" w:hAnsi="Arial" w:cs="Arial"/>
        </w:rPr>
        <w:t xml:space="preserve"> με βάση τα οποία θα τεκμηριώνεται η συμμόρφωση τους με τις απαιτήσεις του προτύπου </w:t>
      </w:r>
      <w:r w:rsidR="000D678E">
        <w:rPr>
          <w:rFonts w:ascii="Arial" w:eastAsia="Calibri" w:hAnsi="Arial" w:cs="Arial"/>
          <w:lang w:val="en-GB"/>
        </w:rPr>
        <w:t>BS</w:t>
      </w:r>
      <w:r w:rsidR="000D678E" w:rsidRPr="00DE0FA1">
        <w:rPr>
          <w:rFonts w:ascii="Arial" w:eastAsia="Calibri" w:hAnsi="Arial" w:cs="Arial"/>
        </w:rPr>
        <w:t xml:space="preserve"> 7671</w:t>
      </w:r>
      <w:r w:rsidR="009332C2" w:rsidRPr="00DE0FA1">
        <w:rPr>
          <w:rFonts w:ascii="Arial" w:eastAsia="Calibri" w:hAnsi="Arial" w:cs="Arial"/>
        </w:rPr>
        <w:t>: 2008</w:t>
      </w:r>
      <w:r w:rsidR="000D678E" w:rsidRPr="00DE0FA1">
        <w:rPr>
          <w:rFonts w:ascii="Arial" w:eastAsia="Calibri" w:hAnsi="Arial" w:cs="Arial"/>
        </w:rPr>
        <w:t xml:space="preserve"> (2</w:t>
      </w:r>
      <w:r w:rsidR="009332C2" w:rsidRPr="00DE0FA1">
        <w:rPr>
          <w:rFonts w:ascii="Arial" w:eastAsia="Calibri" w:hAnsi="Arial" w:cs="Arial"/>
        </w:rPr>
        <w:t>015</w:t>
      </w:r>
      <w:r w:rsidR="000D678E" w:rsidRPr="00DE0FA1">
        <w:rPr>
          <w:rFonts w:ascii="Arial" w:eastAsia="Calibri" w:hAnsi="Arial" w:cs="Arial"/>
        </w:rPr>
        <w:t>)</w:t>
      </w:r>
      <w:r w:rsidR="009332C2" w:rsidRPr="00DE0FA1">
        <w:rPr>
          <w:rFonts w:ascii="Arial" w:eastAsia="Calibri" w:hAnsi="Arial" w:cs="Arial"/>
        </w:rPr>
        <w:t xml:space="preserve"> </w:t>
      </w:r>
      <w:r w:rsidR="009332C2">
        <w:rPr>
          <w:rFonts w:ascii="Arial" w:eastAsia="Calibri" w:hAnsi="Arial" w:cs="Arial"/>
        </w:rPr>
        <w:t xml:space="preserve">και του προτύπου ΕΝ 61008. </w:t>
      </w:r>
      <w:r w:rsidR="00244D4A">
        <w:rPr>
          <w:rFonts w:ascii="Arial" w:eastAsia="Calibri" w:hAnsi="Arial" w:cs="Arial"/>
        </w:rPr>
        <w:t xml:space="preserve"> </w:t>
      </w:r>
    </w:p>
    <w:p w14:paraId="23EEB5E8" w14:textId="77777777" w:rsidR="007A4D86" w:rsidRPr="007A4D86" w:rsidRDefault="007A4D86" w:rsidP="007A4D8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7C55AB4" w14:textId="3B5BF906" w:rsidR="007A4D86" w:rsidRPr="007A4D86" w:rsidRDefault="009E5A0B" w:rsidP="007A4D86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u w:val="single"/>
        </w:rPr>
      </w:pPr>
      <w:r w:rsidRPr="009E5A0B">
        <w:rPr>
          <w:rFonts w:ascii="Arial" w:eastAsia="Times New Roman" w:hAnsi="Arial" w:cs="Arial"/>
          <w:b/>
          <w:u w:val="single"/>
        </w:rPr>
        <w:t xml:space="preserve">Β. Τρόπος εγκατάστασης </w:t>
      </w:r>
      <w:r w:rsidR="007A4D86" w:rsidRPr="007A4D86">
        <w:rPr>
          <w:rFonts w:ascii="Arial" w:eastAsia="Times New Roman" w:hAnsi="Arial" w:cs="Arial"/>
          <w:b/>
          <w:u w:val="single"/>
        </w:rPr>
        <w:t>συσκευή</w:t>
      </w:r>
      <w:r w:rsidRPr="009E5A0B">
        <w:rPr>
          <w:rFonts w:ascii="Arial" w:eastAsia="Times New Roman" w:hAnsi="Arial" w:cs="Arial"/>
          <w:b/>
          <w:u w:val="single"/>
        </w:rPr>
        <w:t>ς</w:t>
      </w:r>
      <w:r w:rsidR="007A4D86" w:rsidRPr="007A4D86">
        <w:rPr>
          <w:rFonts w:ascii="Arial" w:eastAsia="Times New Roman" w:hAnsi="Arial" w:cs="Arial"/>
          <w:b/>
          <w:u w:val="single"/>
        </w:rPr>
        <w:t xml:space="preserve"> προστασίας έναντι υπερτάσεων </w:t>
      </w:r>
      <w:r>
        <w:rPr>
          <w:rFonts w:ascii="Arial" w:eastAsia="Times New Roman" w:hAnsi="Arial" w:cs="Arial"/>
          <w:b/>
          <w:u w:val="single"/>
        </w:rPr>
        <w:t xml:space="preserve">στην αφετηρία της εγκατάστασης </w:t>
      </w:r>
    </w:p>
    <w:p w14:paraId="09356191" w14:textId="77777777" w:rsidR="007A4D86" w:rsidRPr="007A4D86" w:rsidRDefault="007A4D86" w:rsidP="007A4D86">
      <w:pPr>
        <w:spacing w:after="0" w:line="240" w:lineRule="auto"/>
        <w:ind w:left="-142"/>
        <w:jc w:val="both"/>
        <w:rPr>
          <w:rFonts w:ascii="Arial" w:eastAsia="Times New Roman" w:hAnsi="Arial" w:cs="Arial"/>
          <w:b/>
        </w:rPr>
      </w:pPr>
    </w:p>
    <w:p w14:paraId="56E16A72" w14:textId="36983063" w:rsidR="00223D56" w:rsidRDefault="000A18A6" w:rsidP="00223D56">
      <w:pPr>
        <w:ind w:left="-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Διευκρινίζεται ότι, ο</w:t>
      </w:r>
      <w:r w:rsidR="007A069D">
        <w:rPr>
          <w:rFonts w:ascii="Arial" w:eastAsia="Calibri" w:hAnsi="Arial" w:cs="Arial"/>
        </w:rPr>
        <w:t xml:space="preserve">ι δύο αποδεκτοί </w:t>
      </w:r>
      <w:r w:rsidR="00C9552F">
        <w:rPr>
          <w:rFonts w:ascii="Arial" w:eastAsia="Calibri" w:hAnsi="Arial" w:cs="Arial"/>
        </w:rPr>
        <w:t>τρόπο</w:t>
      </w:r>
      <w:r w:rsidR="007A069D">
        <w:rPr>
          <w:rFonts w:ascii="Arial" w:eastAsia="Calibri" w:hAnsi="Arial" w:cs="Arial"/>
        </w:rPr>
        <w:t>ι</w:t>
      </w:r>
      <w:r w:rsidR="00C9552F">
        <w:rPr>
          <w:rFonts w:ascii="Arial" w:eastAsia="Calibri" w:hAnsi="Arial" w:cs="Arial"/>
        </w:rPr>
        <w:t xml:space="preserve"> εγκατάστασης των συσκευών προστασίας έναντι υπερτάσεων στην αφετηρία μιας ηλεκτρολογικής εγκατάστασης </w:t>
      </w:r>
      <w:r w:rsidR="00586496">
        <w:rPr>
          <w:rFonts w:ascii="Arial" w:eastAsia="Calibri" w:hAnsi="Arial" w:cs="Arial"/>
        </w:rPr>
        <w:t xml:space="preserve">σε σύστημα γείωσης τύπου ΤΤ, </w:t>
      </w:r>
      <w:r w:rsidR="00223D56">
        <w:rPr>
          <w:rFonts w:ascii="Arial" w:eastAsia="Calibri" w:hAnsi="Arial" w:cs="Arial"/>
        </w:rPr>
        <w:t>είναι:</w:t>
      </w:r>
    </w:p>
    <w:p w14:paraId="747ED38C" w14:textId="61C6F17B" w:rsidR="00223D56" w:rsidRDefault="00223D56" w:rsidP="00223D56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223D56">
        <w:rPr>
          <w:rFonts w:ascii="Arial" w:eastAsia="Calibri" w:hAnsi="Arial" w:cs="Arial"/>
        </w:rPr>
        <w:t>ο</w:t>
      </w:r>
      <w:r w:rsidR="007A4D86" w:rsidRPr="00223D56">
        <w:rPr>
          <w:rFonts w:ascii="Arial" w:eastAsia="Times New Roman" w:hAnsi="Arial" w:cs="Arial"/>
        </w:rPr>
        <w:t xml:space="preserve"> τύπο</w:t>
      </w:r>
      <w:r w:rsidRPr="00223D56">
        <w:rPr>
          <w:rFonts w:ascii="Arial" w:eastAsia="Times New Roman" w:hAnsi="Arial" w:cs="Arial"/>
        </w:rPr>
        <w:t>ς</w:t>
      </w:r>
      <w:r w:rsidR="007A4D86" w:rsidRPr="00223D56">
        <w:rPr>
          <w:rFonts w:ascii="Arial" w:eastAsia="Times New Roman" w:hAnsi="Arial" w:cs="Arial"/>
        </w:rPr>
        <w:t xml:space="preserve"> σύνδεσης </w:t>
      </w:r>
      <w:r w:rsidR="007A4D86" w:rsidRPr="00223D56">
        <w:rPr>
          <w:rFonts w:ascii="Arial" w:eastAsia="Times New Roman" w:hAnsi="Arial" w:cs="Arial"/>
          <w:lang w:val="en-US"/>
        </w:rPr>
        <w:t>CT</w:t>
      </w:r>
      <w:r w:rsidRPr="00223D56">
        <w:rPr>
          <w:rFonts w:ascii="Arial" w:eastAsia="Times New Roman" w:hAnsi="Arial" w:cs="Arial"/>
        </w:rPr>
        <w:t>1 σύμφωνα με το</w:t>
      </w:r>
      <w:r w:rsidR="007A4D86" w:rsidRPr="00223D56">
        <w:rPr>
          <w:rFonts w:ascii="Arial" w:eastAsia="Times New Roman" w:hAnsi="Arial" w:cs="Arial"/>
        </w:rPr>
        <w:t xml:space="preserve"> </w:t>
      </w:r>
      <w:r w:rsidR="007A4D86" w:rsidRPr="00223D56">
        <w:rPr>
          <w:rFonts w:ascii="Arial" w:eastAsia="Calibri" w:hAnsi="Arial" w:cs="Arial"/>
        </w:rPr>
        <w:t xml:space="preserve">Σχέδιο </w:t>
      </w:r>
      <w:r w:rsidR="00406E96">
        <w:rPr>
          <w:rFonts w:ascii="Arial" w:eastAsia="Calibri" w:hAnsi="Arial" w:cs="Arial"/>
        </w:rPr>
        <w:t>16</w:t>
      </w:r>
      <w:r w:rsidR="00406E96" w:rsidRPr="00406E96">
        <w:rPr>
          <w:rFonts w:ascii="Arial" w:eastAsia="Calibri" w:hAnsi="Arial" w:cs="Arial"/>
        </w:rPr>
        <w:t>Α</w:t>
      </w:r>
      <w:r w:rsidR="00406E96">
        <w:rPr>
          <w:rFonts w:ascii="Arial" w:eastAsia="Calibri" w:hAnsi="Arial" w:cs="Arial"/>
        </w:rPr>
        <w:t>2</w:t>
      </w:r>
      <w:r w:rsidR="007A4D86" w:rsidRPr="00223D56">
        <w:rPr>
          <w:rFonts w:ascii="Arial" w:eastAsia="Calibri" w:hAnsi="Arial" w:cs="Arial"/>
        </w:rPr>
        <w:t xml:space="preserve"> του </w:t>
      </w:r>
      <w:r w:rsidR="007A4D86" w:rsidRPr="00223D56">
        <w:rPr>
          <w:rFonts w:ascii="Arial" w:eastAsia="Calibri" w:hAnsi="Arial" w:cs="Arial"/>
          <w:lang w:val="en-GB"/>
        </w:rPr>
        <w:t>Appendix</w:t>
      </w:r>
      <w:r w:rsidR="007A4D86" w:rsidRPr="00223D56">
        <w:rPr>
          <w:rFonts w:ascii="Arial" w:eastAsia="Calibri" w:hAnsi="Arial" w:cs="Arial"/>
        </w:rPr>
        <w:t xml:space="preserve"> 16</w:t>
      </w:r>
      <w:r w:rsidR="009332C2" w:rsidRPr="00DE0FA1">
        <w:rPr>
          <w:rFonts w:ascii="Arial" w:eastAsia="Calibri" w:hAnsi="Arial" w:cs="Arial"/>
        </w:rPr>
        <w:t xml:space="preserve"> </w:t>
      </w:r>
      <w:r w:rsidR="009332C2">
        <w:rPr>
          <w:rFonts w:ascii="Arial" w:eastAsia="Calibri" w:hAnsi="Arial" w:cs="Arial"/>
        </w:rPr>
        <w:t xml:space="preserve">του </w:t>
      </w:r>
      <w:r w:rsidR="009332C2">
        <w:rPr>
          <w:rFonts w:ascii="Arial" w:eastAsia="Calibri" w:hAnsi="Arial" w:cs="Arial"/>
          <w:lang w:val="en-GB"/>
        </w:rPr>
        <w:t>BS</w:t>
      </w:r>
      <w:r w:rsidR="009332C2" w:rsidRPr="00FF7163">
        <w:rPr>
          <w:rFonts w:ascii="Arial" w:eastAsia="Calibri" w:hAnsi="Arial" w:cs="Arial"/>
        </w:rPr>
        <w:t xml:space="preserve"> 7671: 2008 (2015) </w:t>
      </w:r>
      <w:r w:rsidR="007A4D86" w:rsidRPr="00223D56">
        <w:rPr>
          <w:rFonts w:ascii="Arial" w:eastAsia="Calibri" w:hAnsi="Arial" w:cs="Arial"/>
        </w:rPr>
        <w:t xml:space="preserve"> </w:t>
      </w:r>
      <w:r w:rsidR="009332C2">
        <w:rPr>
          <w:rFonts w:ascii="Arial" w:eastAsia="Calibri" w:hAnsi="Arial" w:cs="Arial"/>
        </w:rPr>
        <w:t>-</w:t>
      </w:r>
      <w:r w:rsidR="007A4D86" w:rsidRPr="00223D56">
        <w:rPr>
          <w:rFonts w:ascii="Arial" w:eastAsia="Calibri" w:hAnsi="Arial" w:cs="Arial"/>
        </w:rPr>
        <w:t xml:space="preserve"> 17</w:t>
      </w:r>
      <w:r w:rsidR="007A4D86" w:rsidRPr="00223D56">
        <w:rPr>
          <w:rFonts w:ascii="Arial" w:eastAsia="Calibri" w:hAnsi="Arial" w:cs="Arial"/>
          <w:vertAlign w:val="superscript"/>
        </w:rPr>
        <w:t>η</w:t>
      </w:r>
      <w:r w:rsidR="007A4D86" w:rsidRPr="00223D56">
        <w:rPr>
          <w:rFonts w:ascii="Arial" w:eastAsia="Calibri" w:hAnsi="Arial" w:cs="Arial"/>
        </w:rPr>
        <w:t xml:space="preserve"> Έκδοση των Κανονισμών</w:t>
      </w:r>
      <w:r w:rsidR="009332C2">
        <w:rPr>
          <w:rFonts w:ascii="Arial" w:eastAsia="Calibri" w:hAnsi="Arial" w:cs="Arial"/>
        </w:rPr>
        <w:t xml:space="preserve"> για τις ηλεκτρολογικές εγκαταστάσεις</w:t>
      </w:r>
      <w:r w:rsidR="00586496">
        <w:rPr>
          <w:rFonts w:ascii="Arial" w:eastAsia="Calibri" w:hAnsi="Arial" w:cs="Arial"/>
        </w:rPr>
        <w:t>, σελ.</w:t>
      </w:r>
      <w:r w:rsidR="00FE4632">
        <w:rPr>
          <w:rFonts w:ascii="Arial" w:eastAsia="Calibri" w:hAnsi="Arial" w:cs="Arial"/>
        </w:rPr>
        <w:t xml:space="preserve"> </w:t>
      </w:r>
      <w:r w:rsidR="00586496">
        <w:rPr>
          <w:rFonts w:ascii="Arial" w:eastAsia="Calibri" w:hAnsi="Arial" w:cs="Arial"/>
        </w:rPr>
        <w:t>456</w:t>
      </w:r>
      <w:r>
        <w:rPr>
          <w:rFonts w:ascii="Arial" w:eastAsia="Calibri" w:hAnsi="Arial" w:cs="Arial"/>
        </w:rPr>
        <w:t xml:space="preserve"> και</w:t>
      </w:r>
    </w:p>
    <w:p w14:paraId="0E005A98" w14:textId="77777777" w:rsidR="00586496" w:rsidRPr="00FE4632" w:rsidRDefault="00586496" w:rsidP="00586496">
      <w:pPr>
        <w:pStyle w:val="ListParagraph"/>
        <w:ind w:left="640"/>
        <w:jc w:val="both"/>
        <w:rPr>
          <w:rFonts w:ascii="Arial" w:eastAsia="Calibri" w:hAnsi="Arial" w:cs="Arial"/>
        </w:rPr>
      </w:pPr>
    </w:p>
    <w:p w14:paraId="338BCBF0" w14:textId="1E61167F" w:rsidR="00406E96" w:rsidRPr="00406E96" w:rsidRDefault="00406E96" w:rsidP="00223D56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ο</w:t>
      </w:r>
      <w:r w:rsidR="007A4D86" w:rsidRPr="00223D56">
        <w:rPr>
          <w:rFonts w:ascii="Arial" w:eastAsia="Times New Roman" w:hAnsi="Arial" w:cs="Arial"/>
        </w:rPr>
        <w:t xml:space="preserve"> τύπο</w:t>
      </w:r>
      <w:r>
        <w:rPr>
          <w:rFonts w:ascii="Arial" w:eastAsia="Times New Roman" w:hAnsi="Arial" w:cs="Arial"/>
        </w:rPr>
        <w:t>ς</w:t>
      </w:r>
      <w:r w:rsidR="007A4D86" w:rsidRPr="00223D56">
        <w:rPr>
          <w:rFonts w:ascii="Arial" w:eastAsia="Times New Roman" w:hAnsi="Arial" w:cs="Arial"/>
        </w:rPr>
        <w:t xml:space="preserve"> σύνδεσης </w:t>
      </w:r>
      <w:r w:rsidR="007A4D86" w:rsidRPr="00223D56">
        <w:rPr>
          <w:rFonts w:ascii="Arial" w:eastAsia="Times New Roman" w:hAnsi="Arial" w:cs="Arial"/>
          <w:lang w:val="en-US"/>
        </w:rPr>
        <w:t>CT</w:t>
      </w:r>
      <w:r>
        <w:rPr>
          <w:rFonts w:ascii="Arial" w:eastAsia="Times New Roman" w:hAnsi="Arial" w:cs="Arial"/>
        </w:rPr>
        <w:t>2</w:t>
      </w:r>
      <w:r w:rsidR="007A4D86" w:rsidRPr="00223D56">
        <w:rPr>
          <w:rFonts w:ascii="Arial" w:eastAsia="Times New Roman" w:hAnsi="Arial" w:cs="Arial"/>
        </w:rPr>
        <w:t xml:space="preserve"> </w:t>
      </w:r>
      <w:r w:rsidRPr="00223D56">
        <w:rPr>
          <w:rFonts w:ascii="Arial" w:eastAsia="Times New Roman" w:hAnsi="Arial" w:cs="Arial"/>
        </w:rPr>
        <w:t xml:space="preserve">σύμφωνα με το </w:t>
      </w:r>
      <w:r w:rsidRPr="00223D56">
        <w:rPr>
          <w:rFonts w:ascii="Arial" w:eastAsia="Calibri" w:hAnsi="Arial" w:cs="Arial"/>
        </w:rPr>
        <w:t xml:space="preserve">Σχέδιο </w:t>
      </w:r>
      <w:r>
        <w:rPr>
          <w:rFonts w:ascii="Arial" w:eastAsia="Calibri" w:hAnsi="Arial" w:cs="Arial"/>
        </w:rPr>
        <w:t>16</w:t>
      </w:r>
      <w:r w:rsidRPr="00406E96">
        <w:rPr>
          <w:rFonts w:ascii="Arial" w:eastAsia="Calibri" w:hAnsi="Arial" w:cs="Arial"/>
        </w:rPr>
        <w:t>Α</w:t>
      </w:r>
      <w:r>
        <w:rPr>
          <w:rFonts w:ascii="Arial" w:eastAsia="Calibri" w:hAnsi="Arial" w:cs="Arial"/>
        </w:rPr>
        <w:t>3</w:t>
      </w:r>
      <w:r w:rsidRPr="00223D56">
        <w:rPr>
          <w:rFonts w:ascii="Arial" w:eastAsia="Calibri" w:hAnsi="Arial" w:cs="Arial"/>
        </w:rPr>
        <w:t xml:space="preserve"> του </w:t>
      </w:r>
      <w:r w:rsidRPr="00223D56">
        <w:rPr>
          <w:rFonts w:ascii="Arial" w:eastAsia="Calibri" w:hAnsi="Arial" w:cs="Arial"/>
          <w:lang w:val="en-GB"/>
        </w:rPr>
        <w:t>Appendix</w:t>
      </w:r>
      <w:r w:rsidRPr="00223D56">
        <w:rPr>
          <w:rFonts w:ascii="Arial" w:eastAsia="Calibri" w:hAnsi="Arial" w:cs="Arial"/>
        </w:rPr>
        <w:t xml:space="preserve"> 16 </w:t>
      </w:r>
      <w:r w:rsidR="009332C2">
        <w:rPr>
          <w:rFonts w:ascii="Arial" w:eastAsia="Calibri" w:hAnsi="Arial" w:cs="Arial"/>
        </w:rPr>
        <w:t xml:space="preserve">του </w:t>
      </w:r>
      <w:r w:rsidR="009332C2">
        <w:rPr>
          <w:rFonts w:ascii="Arial" w:eastAsia="Calibri" w:hAnsi="Arial" w:cs="Arial"/>
          <w:lang w:val="en-GB"/>
        </w:rPr>
        <w:t>BS</w:t>
      </w:r>
      <w:r w:rsidR="009332C2" w:rsidRPr="00FF7163">
        <w:rPr>
          <w:rFonts w:ascii="Arial" w:eastAsia="Calibri" w:hAnsi="Arial" w:cs="Arial"/>
        </w:rPr>
        <w:t xml:space="preserve"> 7671: 2008 (2015) </w:t>
      </w:r>
      <w:r w:rsidR="009332C2" w:rsidRPr="00223D56">
        <w:rPr>
          <w:rFonts w:ascii="Arial" w:eastAsia="Calibri" w:hAnsi="Arial" w:cs="Arial"/>
        </w:rPr>
        <w:t xml:space="preserve"> </w:t>
      </w:r>
      <w:r w:rsidR="009332C2">
        <w:rPr>
          <w:rFonts w:ascii="Arial" w:eastAsia="Calibri" w:hAnsi="Arial" w:cs="Arial"/>
        </w:rPr>
        <w:t>-</w:t>
      </w:r>
      <w:r w:rsidRPr="00223D56">
        <w:rPr>
          <w:rFonts w:ascii="Arial" w:eastAsia="Calibri" w:hAnsi="Arial" w:cs="Arial"/>
        </w:rPr>
        <w:t xml:space="preserve"> 17</w:t>
      </w:r>
      <w:r w:rsidRPr="00223D56">
        <w:rPr>
          <w:rFonts w:ascii="Arial" w:eastAsia="Calibri" w:hAnsi="Arial" w:cs="Arial"/>
          <w:vertAlign w:val="superscript"/>
        </w:rPr>
        <w:t>η</w:t>
      </w:r>
      <w:r w:rsidRPr="00223D56">
        <w:rPr>
          <w:rFonts w:ascii="Arial" w:eastAsia="Calibri" w:hAnsi="Arial" w:cs="Arial"/>
        </w:rPr>
        <w:t xml:space="preserve"> Έκδοση των Κανονισμών</w:t>
      </w:r>
      <w:r w:rsidR="009332C2" w:rsidRPr="009332C2">
        <w:rPr>
          <w:rFonts w:ascii="Arial" w:eastAsia="Calibri" w:hAnsi="Arial" w:cs="Arial"/>
        </w:rPr>
        <w:t xml:space="preserve"> </w:t>
      </w:r>
      <w:r w:rsidR="009332C2">
        <w:rPr>
          <w:rFonts w:ascii="Arial" w:eastAsia="Calibri" w:hAnsi="Arial" w:cs="Arial"/>
        </w:rPr>
        <w:t>για τις ηλεκτρολογικές εγκαταστάσεις</w:t>
      </w:r>
      <w:r w:rsidR="00586496">
        <w:rPr>
          <w:rFonts w:ascii="Arial" w:eastAsia="Calibri" w:hAnsi="Arial" w:cs="Arial"/>
        </w:rPr>
        <w:t>, σελ.</w:t>
      </w:r>
      <w:r w:rsidR="00FE4632">
        <w:rPr>
          <w:rFonts w:ascii="Arial" w:eastAsia="Calibri" w:hAnsi="Arial" w:cs="Arial"/>
        </w:rPr>
        <w:t xml:space="preserve"> </w:t>
      </w:r>
      <w:r w:rsidR="00586496">
        <w:rPr>
          <w:rFonts w:ascii="Arial" w:eastAsia="Calibri" w:hAnsi="Arial" w:cs="Arial"/>
        </w:rPr>
        <w:t>457</w:t>
      </w:r>
    </w:p>
    <w:p w14:paraId="62514A38" w14:textId="1ECBF36A" w:rsidR="00F668D1" w:rsidRDefault="00F668D1" w:rsidP="00406E96">
      <w:pPr>
        <w:jc w:val="both"/>
        <w:rPr>
          <w:rFonts w:ascii="Arial" w:eastAsia="Times New Roman" w:hAnsi="Arial" w:cs="Arial"/>
        </w:rPr>
      </w:pPr>
    </w:p>
    <w:p w14:paraId="3EDB4DFB" w14:textId="77777777" w:rsidR="00AC7EBC" w:rsidRDefault="00394632" w:rsidP="00AC7EBC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Γ</w:t>
      </w:r>
      <w:r w:rsidRPr="009E5A0B">
        <w:rPr>
          <w:rFonts w:ascii="Arial" w:eastAsia="Times New Roman" w:hAnsi="Arial" w:cs="Arial"/>
          <w:b/>
          <w:u w:val="single"/>
        </w:rPr>
        <w:t xml:space="preserve">. </w:t>
      </w:r>
      <w:r w:rsidR="00F07391">
        <w:rPr>
          <w:rFonts w:ascii="Arial" w:eastAsia="Times New Roman" w:hAnsi="Arial" w:cs="Arial"/>
          <w:b/>
          <w:u w:val="single"/>
        </w:rPr>
        <w:t xml:space="preserve">Ηλεκτρόδιο </w:t>
      </w:r>
      <w:r w:rsidR="00AC7EBC">
        <w:rPr>
          <w:rFonts w:ascii="Arial" w:eastAsia="Times New Roman" w:hAnsi="Arial" w:cs="Arial"/>
          <w:b/>
          <w:u w:val="single"/>
        </w:rPr>
        <w:t xml:space="preserve">της γείωσης </w:t>
      </w:r>
      <w:r>
        <w:rPr>
          <w:rFonts w:ascii="Arial" w:eastAsia="Times New Roman" w:hAnsi="Arial" w:cs="Arial"/>
          <w:b/>
          <w:u w:val="single"/>
        </w:rPr>
        <w:t xml:space="preserve">της εγκατάστασης </w:t>
      </w:r>
    </w:p>
    <w:p w14:paraId="2EAB0CA3" w14:textId="77777777" w:rsidR="00AC7EBC" w:rsidRDefault="00AC7EBC" w:rsidP="00AC7EBC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u w:val="single"/>
        </w:rPr>
      </w:pPr>
    </w:p>
    <w:p w14:paraId="174ED33F" w14:textId="77A4865E" w:rsidR="007A4D86" w:rsidRDefault="0066146E" w:rsidP="00AC7EBC">
      <w:pPr>
        <w:spacing w:after="0" w:line="240" w:lineRule="auto"/>
        <w:ind w:left="-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Για σκοπούς ελέγχου και συντήρησης των ηλεκτρολογικών εγκαταστάσεων, </w:t>
      </w:r>
      <w:r w:rsidRPr="00B02423">
        <w:rPr>
          <w:rFonts w:ascii="Arial" w:eastAsia="Times New Roman" w:hAnsi="Arial" w:cs="Arial"/>
          <w:b/>
        </w:rPr>
        <w:t>απαιτείται</w:t>
      </w:r>
      <w:r>
        <w:rPr>
          <w:rFonts w:ascii="Arial" w:eastAsia="Times New Roman" w:hAnsi="Arial" w:cs="Arial"/>
        </w:rPr>
        <w:t xml:space="preserve"> όπως οι </w:t>
      </w:r>
      <w:r w:rsidR="00346460">
        <w:rPr>
          <w:rFonts w:ascii="Arial" w:eastAsia="Times New Roman" w:hAnsi="Arial" w:cs="Arial"/>
        </w:rPr>
        <w:t xml:space="preserve">Σύμβουλοι </w:t>
      </w:r>
      <w:r>
        <w:rPr>
          <w:rFonts w:ascii="Arial" w:eastAsia="Times New Roman" w:hAnsi="Arial" w:cs="Arial"/>
        </w:rPr>
        <w:t>Μελετητές</w:t>
      </w:r>
      <w:r w:rsidR="00346460">
        <w:rPr>
          <w:rFonts w:ascii="Arial" w:eastAsia="Times New Roman" w:hAnsi="Arial" w:cs="Arial"/>
        </w:rPr>
        <w:t xml:space="preserve">, </w:t>
      </w:r>
      <w:r w:rsidR="009332C2">
        <w:rPr>
          <w:rFonts w:ascii="Arial" w:eastAsia="Times New Roman" w:hAnsi="Arial" w:cs="Arial"/>
        </w:rPr>
        <w:t>σημειώνουν</w:t>
      </w:r>
      <w:r w:rsidR="00346460">
        <w:rPr>
          <w:rFonts w:ascii="Arial" w:eastAsia="Times New Roman" w:hAnsi="Arial" w:cs="Arial"/>
        </w:rPr>
        <w:t xml:space="preserve"> στ</w:t>
      </w:r>
      <w:r w:rsidR="009332C2">
        <w:rPr>
          <w:rFonts w:ascii="Arial" w:eastAsia="Times New Roman" w:hAnsi="Arial" w:cs="Arial"/>
        </w:rPr>
        <w:t>α</w:t>
      </w:r>
      <w:r w:rsidR="00346460">
        <w:rPr>
          <w:rFonts w:ascii="Arial" w:eastAsia="Times New Roman" w:hAnsi="Arial" w:cs="Arial"/>
        </w:rPr>
        <w:t xml:space="preserve"> </w:t>
      </w:r>
      <w:r w:rsidR="009332C2">
        <w:rPr>
          <w:rFonts w:ascii="Arial" w:eastAsia="Times New Roman" w:hAnsi="Arial" w:cs="Arial"/>
        </w:rPr>
        <w:t xml:space="preserve">ηλεκτρολογικά </w:t>
      </w:r>
      <w:r w:rsidR="00346460">
        <w:rPr>
          <w:rFonts w:ascii="Arial" w:eastAsia="Times New Roman" w:hAnsi="Arial" w:cs="Arial"/>
        </w:rPr>
        <w:t xml:space="preserve">σχέδια της εγκατάστασης </w:t>
      </w:r>
      <w:r w:rsidR="00706203">
        <w:rPr>
          <w:rFonts w:ascii="Arial" w:eastAsia="Times New Roman" w:hAnsi="Arial" w:cs="Arial"/>
        </w:rPr>
        <w:t xml:space="preserve">(κάτοψη) </w:t>
      </w:r>
      <w:r w:rsidR="00303E78">
        <w:rPr>
          <w:rFonts w:ascii="Arial" w:eastAsia="Times New Roman" w:hAnsi="Arial" w:cs="Arial"/>
        </w:rPr>
        <w:t>που θα υποβάλλονται</w:t>
      </w:r>
      <w:r w:rsidR="002E2DFC">
        <w:rPr>
          <w:rFonts w:ascii="Arial" w:eastAsia="Times New Roman" w:hAnsi="Arial" w:cs="Arial"/>
        </w:rPr>
        <w:t xml:space="preserve"> για επιθεώρηση</w:t>
      </w:r>
      <w:r w:rsidR="009332C2">
        <w:rPr>
          <w:rFonts w:ascii="Arial" w:eastAsia="Times New Roman" w:hAnsi="Arial" w:cs="Arial"/>
        </w:rPr>
        <w:t xml:space="preserve"> και έλεγχο</w:t>
      </w:r>
      <w:r w:rsidR="00303E78">
        <w:rPr>
          <w:rFonts w:ascii="Arial" w:eastAsia="Times New Roman" w:hAnsi="Arial" w:cs="Arial"/>
        </w:rPr>
        <w:t xml:space="preserve">  το</w:t>
      </w:r>
      <w:r w:rsidR="009332C2">
        <w:rPr>
          <w:rFonts w:ascii="Arial" w:eastAsia="Times New Roman" w:hAnsi="Arial" w:cs="Arial"/>
        </w:rPr>
        <w:t xml:space="preserve"> σημείο</w:t>
      </w:r>
      <w:r w:rsidR="00303E78">
        <w:rPr>
          <w:rFonts w:ascii="Arial" w:eastAsia="Times New Roman" w:hAnsi="Arial" w:cs="Arial"/>
        </w:rPr>
        <w:t xml:space="preserve"> </w:t>
      </w:r>
      <w:r w:rsidR="00D40FC5">
        <w:rPr>
          <w:rFonts w:ascii="Arial" w:eastAsia="Times New Roman" w:hAnsi="Arial" w:cs="Arial"/>
        </w:rPr>
        <w:t>εγκατάστασης του ηλεκτροδίου της γείωσης</w:t>
      </w:r>
      <w:r w:rsidR="004153DF">
        <w:rPr>
          <w:rFonts w:ascii="Arial" w:eastAsia="Times New Roman" w:hAnsi="Arial" w:cs="Arial"/>
        </w:rPr>
        <w:t xml:space="preserve"> και το είδος του</w:t>
      </w:r>
      <w:r w:rsidR="00D40FC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F668D1">
        <w:rPr>
          <w:rFonts w:ascii="Arial" w:eastAsia="Times New Roman" w:hAnsi="Arial" w:cs="Arial"/>
        </w:rPr>
        <w:t xml:space="preserve"> </w:t>
      </w:r>
    </w:p>
    <w:p w14:paraId="1D1C6C6D" w14:textId="6678654A" w:rsidR="00B02423" w:rsidRDefault="00B02423" w:rsidP="00AC7EBC">
      <w:pPr>
        <w:spacing w:after="0" w:line="240" w:lineRule="auto"/>
        <w:ind w:left="-142"/>
        <w:jc w:val="both"/>
        <w:rPr>
          <w:rFonts w:ascii="Arial" w:eastAsia="Times New Roman" w:hAnsi="Arial" w:cs="Arial"/>
        </w:rPr>
      </w:pPr>
    </w:p>
    <w:p w14:paraId="57FBAD15" w14:textId="1B84E486" w:rsidR="001A7364" w:rsidRDefault="00820B03" w:rsidP="00C21588">
      <w:pPr>
        <w:spacing w:after="0" w:line="240" w:lineRule="auto"/>
        <w:ind w:left="-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Όλα τα πιο πάνω τίθενται σε εφαρμογή από την ημερομηνία έκδοσης του παρόντος ενημερωτικού δελτίου.</w:t>
      </w:r>
    </w:p>
    <w:p w14:paraId="1A030D3B" w14:textId="021F56A5" w:rsidR="00C21588" w:rsidRDefault="00C21588" w:rsidP="00C21588">
      <w:pPr>
        <w:spacing w:after="0" w:line="240" w:lineRule="auto"/>
        <w:ind w:left="-142"/>
        <w:jc w:val="both"/>
        <w:rPr>
          <w:rFonts w:ascii="Arial" w:eastAsia="Times New Roman" w:hAnsi="Arial" w:cs="Arial"/>
        </w:rPr>
      </w:pPr>
    </w:p>
    <w:sectPr w:rsidR="00C21588" w:rsidSect="001A736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F74E" w14:textId="77777777" w:rsidR="00DA2754" w:rsidRDefault="00DA2754" w:rsidP="00F12988">
      <w:pPr>
        <w:spacing w:after="0" w:line="240" w:lineRule="auto"/>
      </w:pPr>
      <w:r>
        <w:separator/>
      </w:r>
    </w:p>
  </w:endnote>
  <w:endnote w:type="continuationSeparator" w:id="0">
    <w:p w14:paraId="3BFDE147" w14:textId="77777777" w:rsidR="00DA2754" w:rsidRDefault="00DA2754" w:rsidP="00F1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2948F" w14:textId="77777777" w:rsidR="00F12988" w:rsidRPr="00F12988" w:rsidRDefault="00F12988" w:rsidP="00F12988">
    <w:pPr>
      <w:pBdr>
        <w:bottom w:val="single" w:sz="6" w:space="1" w:color="auto"/>
      </w:pBdr>
      <w:spacing w:after="0" w:line="240" w:lineRule="auto"/>
      <w:rPr>
        <w:rFonts w:ascii="Tahoma" w:eastAsia="Calibri" w:hAnsi="Tahoma" w:cs="Tahoma"/>
        <w:sz w:val="12"/>
        <w:szCs w:val="12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613F84" w:rsidRPr="008453DC" w14:paraId="506C9484" w14:textId="77777777" w:rsidTr="008838DD">
      <w:trPr>
        <w:trHeight w:val="850"/>
      </w:trPr>
      <w:tc>
        <w:tcPr>
          <w:tcW w:w="1101" w:type="dxa"/>
        </w:tcPr>
        <w:p w14:paraId="26D8F6E8" w14:textId="16131907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1167" w:type="dxa"/>
        </w:tcPr>
        <w:p w14:paraId="6C84E03F" w14:textId="2F817FDD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7479" w:type="dxa"/>
          <w:vMerge w:val="restart"/>
          <w:vAlign w:val="center"/>
        </w:tcPr>
        <w:p w14:paraId="409BB30B" w14:textId="77777777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</w:rPr>
          </w:pP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Λεωφ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. Αγίου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Ιλαρίωνος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, </w:t>
          </w:r>
          <w:proofErr w:type="spellStart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>Καΐμακλι</w:t>
          </w:r>
          <w:proofErr w:type="spellEnd"/>
          <w:r w:rsidRPr="00613F84">
            <w:rPr>
              <w:rFonts w:ascii="Arial" w:eastAsia="Times New Roman" w:hAnsi="Arial" w:cs="Arial"/>
              <w:bCs/>
              <w:iCs/>
              <w:sz w:val="14"/>
              <w:szCs w:val="14"/>
            </w:rPr>
            <w:t xml:space="preserve">, 1426 Λευκωσία,   </w:t>
          </w:r>
          <w:proofErr w:type="spellStart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Ταχ</w:t>
          </w:r>
          <w:proofErr w:type="spellEnd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 xml:space="preserve">. </w:t>
          </w:r>
          <w:proofErr w:type="spellStart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Θυρ</w:t>
          </w:r>
          <w:proofErr w:type="spellEnd"/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. 29669, 1722 Λευκωσία</w:t>
          </w:r>
        </w:p>
        <w:p w14:paraId="3030850A" w14:textId="77777777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Τηλ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 xml:space="preserve">: 22800351   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</w:rPr>
            <w:t>φαξ</w:t>
          </w:r>
          <w:r w:rsidRPr="00613F84">
            <w:rPr>
              <w:rFonts w:ascii="Arial" w:eastAsia="Times New Roman" w:hAnsi="Arial" w:cs="Arial"/>
              <w:bCs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613F84" w:rsidRPr="008453DC" w14:paraId="4F2BAB5E" w14:textId="77777777" w:rsidTr="008838DD">
      <w:trPr>
        <w:trHeight w:val="183"/>
      </w:trPr>
      <w:tc>
        <w:tcPr>
          <w:tcW w:w="1101" w:type="dxa"/>
          <w:vAlign w:val="center"/>
        </w:tcPr>
        <w:p w14:paraId="708A7B85" w14:textId="75B3EFEA" w:rsidR="00613F84" w:rsidRPr="00613F84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Tahoma" w:eastAsia="Times New Roman" w:hAnsi="Tahoma" w:cs="Tahoma"/>
              <w:iCs/>
              <w:sz w:val="12"/>
              <w:szCs w:val="12"/>
              <w:lang w:val="en-GB"/>
            </w:rPr>
          </w:pPr>
        </w:p>
      </w:tc>
      <w:tc>
        <w:tcPr>
          <w:tcW w:w="1167" w:type="dxa"/>
        </w:tcPr>
        <w:p w14:paraId="0BB188EB" w14:textId="77777777" w:rsidR="00613F84" w:rsidRPr="00613F84" w:rsidRDefault="00613F84" w:rsidP="00613F84">
          <w:pPr>
            <w:keepNext/>
            <w:spacing w:after="0" w:line="240" w:lineRule="auto"/>
            <w:ind w:right="-717"/>
            <w:jc w:val="center"/>
            <w:outlineLvl w:val="6"/>
            <w:rPr>
              <w:rFonts w:ascii="Tahoma" w:eastAsia="Times New Roman" w:hAnsi="Tahoma" w:cs="Tahoma"/>
              <w:iCs/>
              <w:sz w:val="20"/>
              <w:szCs w:val="24"/>
              <w:lang w:val="en-GB"/>
            </w:rPr>
          </w:pPr>
        </w:p>
      </w:tc>
      <w:tc>
        <w:tcPr>
          <w:tcW w:w="7479" w:type="dxa"/>
          <w:vMerge/>
          <w:vAlign w:val="center"/>
        </w:tcPr>
        <w:p w14:paraId="34DE4C8E" w14:textId="77777777" w:rsidR="00613F84" w:rsidRPr="003F1D27" w:rsidRDefault="00613F84" w:rsidP="00613F84">
          <w:pPr>
            <w:keepNext/>
            <w:spacing w:after="0" w:line="240" w:lineRule="auto"/>
            <w:ind w:right="-717"/>
            <w:outlineLvl w:val="6"/>
            <w:rPr>
              <w:rFonts w:ascii="Arial" w:eastAsia="Times New Roman" w:hAnsi="Arial" w:cs="Arial"/>
              <w:bCs/>
              <w:iCs/>
              <w:sz w:val="14"/>
              <w:szCs w:val="14"/>
              <w:lang w:val="en-US"/>
            </w:rPr>
          </w:pPr>
        </w:p>
      </w:tc>
    </w:tr>
  </w:tbl>
  <w:p w14:paraId="595A0F70" w14:textId="77777777" w:rsidR="00613F84" w:rsidRPr="00613F84" w:rsidRDefault="00613F84" w:rsidP="00613F84">
    <w:pPr>
      <w:keepNext/>
      <w:spacing w:after="0" w:line="240" w:lineRule="auto"/>
      <w:ind w:right="-717"/>
      <w:outlineLvl w:val="6"/>
      <w:rPr>
        <w:rFonts w:ascii="Arial" w:eastAsia="Times New Roman" w:hAnsi="Arial" w:cs="Arial"/>
        <w:bCs/>
        <w:iCs/>
        <w:sz w:val="14"/>
        <w:szCs w:val="14"/>
        <w:lang w:val="en-US" w:eastAsia="x-none"/>
      </w:rPr>
    </w:pPr>
  </w:p>
  <w:p w14:paraId="6F0F10CE" w14:textId="77777777" w:rsidR="00F12988" w:rsidRPr="00F12988" w:rsidRDefault="00F12988" w:rsidP="00613F84">
    <w:pPr>
      <w:keepNext/>
      <w:spacing w:after="0" w:line="240" w:lineRule="auto"/>
      <w:ind w:right="-717"/>
      <w:jc w:val="center"/>
      <w:outlineLvl w:val="6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80031" w14:textId="77777777" w:rsidR="00DA2754" w:rsidRDefault="00DA2754" w:rsidP="00F12988">
      <w:pPr>
        <w:spacing w:after="0" w:line="240" w:lineRule="auto"/>
      </w:pPr>
      <w:r>
        <w:separator/>
      </w:r>
    </w:p>
  </w:footnote>
  <w:footnote w:type="continuationSeparator" w:id="0">
    <w:p w14:paraId="3BA441A8" w14:textId="77777777" w:rsidR="00DA2754" w:rsidRDefault="00DA2754" w:rsidP="00F1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DA7"/>
    <w:multiLevelType w:val="hybridMultilevel"/>
    <w:tmpl w:val="A106FA62"/>
    <w:lvl w:ilvl="0" w:tplc="31F4B5A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1BD2"/>
    <w:multiLevelType w:val="hybridMultilevel"/>
    <w:tmpl w:val="90DAA5F6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F3D7924"/>
    <w:multiLevelType w:val="hybridMultilevel"/>
    <w:tmpl w:val="5E30CF8E"/>
    <w:lvl w:ilvl="0" w:tplc="0408000F">
      <w:start w:val="1"/>
      <w:numFmt w:val="decimal"/>
      <w:lvlText w:val="%1."/>
      <w:lvlJc w:val="left"/>
      <w:pPr>
        <w:ind w:left="640" w:hanging="360"/>
      </w:p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3D2F0374"/>
    <w:multiLevelType w:val="hybridMultilevel"/>
    <w:tmpl w:val="4D5AD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63C4"/>
    <w:multiLevelType w:val="hybridMultilevel"/>
    <w:tmpl w:val="3CB20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E2118"/>
    <w:multiLevelType w:val="hybridMultilevel"/>
    <w:tmpl w:val="B52E38F2"/>
    <w:lvl w:ilvl="0" w:tplc="0408001B">
      <w:start w:val="1"/>
      <w:numFmt w:val="lowerRoman"/>
      <w:lvlText w:val="%1."/>
      <w:lvlJc w:val="righ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8"/>
    <w:rsid w:val="00003D1D"/>
    <w:rsid w:val="00003F67"/>
    <w:rsid w:val="000270E9"/>
    <w:rsid w:val="00055D65"/>
    <w:rsid w:val="000868CD"/>
    <w:rsid w:val="000A18A6"/>
    <w:rsid w:val="000B1D85"/>
    <w:rsid w:val="000B4C5B"/>
    <w:rsid w:val="000C1E76"/>
    <w:rsid w:val="000D5868"/>
    <w:rsid w:val="000D678E"/>
    <w:rsid w:val="00111A8A"/>
    <w:rsid w:val="00125FED"/>
    <w:rsid w:val="00131E3F"/>
    <w:rsid w:val="001561DE"/>
    <w:rsid w:val="0018725A"/>
    <w:rsid w:val="00194AA7"/>
    <w:rsid w:val="001A47CF"/>
    <w:rsid w:val="001A7364"/>
    <w:rsid w:val="001E1CB4"/>
    <w:rsid w:val="002169D8"/>
    <w:rsid w:val="00223D56"/>
    <w:rsid w:val="00242DE7"/>
    <w:rsid w:val="00244D4A"/>
    <w:rsid w:val="00282A20"/>
    <w:rsid w:val="0028596E"/>
    <w:rsid w:val="002A3C0B"/>
    <w:rsid w:val="002C510F"/>
    <w:rsid w:val="002D1151"/>
    <w:rsid w:val="002D4405"/>
    <w:rsid w:val="002E2DFC"/>
    <w:rsid w:val="002F1123"/>
    <w:rsid w:val="002F1542"/>
    <w:rsid w:val="00303E78"/>
    <w:rsid w:val="00320D2B"/>
    <w:rsid w:val="00340BF8"/>
    <w:rsid w:val="00345F3C"/>
    <w:rsid w:val="00346460"/>
    <w:rsid w:val="00347FDB"/>
    <w:rsid w:val="00387675"/>
    <w:rsid w:val="00394632"/>
    <w:rsid w:val="003B2C86"/>
    <w:rsid w:val="003E6A80"/>
    <w:rsid w:val="003F1D27"/>
    <w:rsid w:val="00406E96"/>
    <w:rsid w:val="004153DF"/>
    <w:rsid w:val="004502E1"/>
    <w:rsid w:val="0046083C"/>
    <w:rsid w:val="00464D13"/>
    <w:rsid w:val="00473A90"/>
    <w:rsid w:val="004A5B89"/>
    <w:rsid w:val="004B3FEE"/>
    <w:rsid w:val="004B4C0D"/>
    <w:rsid w:val="004C151D"/>
    <w:rsid w:val="004D0888"/>
    <w:rsid w:val="004D1FB8"/>
    <w:rsid w:val="004D4214"/>
    <w:rsid w:val="004E1F5C"/>
    <w:rsid w:val="005105E7"/>
    <w:rsid w:val="00511286"/>
    <w:rsid w:val="00532C5E"/>
    <w:rsid w:val="005346B4"/>
    <w:rsid w:val="005358C5"/>
    <w:rsid w:val="005567D6"/>
    <w:rsid w:val="0056362E"/>
    <w:rsid w:val="00586496"/>
    <w:rsid w:val="005C2185"/>
    <w:rsid w:val="005C2E52"/>
    <w:rsid w:val="005C45AE"/>
    <w:rsid w:val="005D3118"/>
    <w:rsid w:val="005D6652"/>
    <w:rsid w:val="00603928"/>
    <w:rsid w:val="006044EB"/>
    <w:rsid w:val="00612C8F"/>
    <w:rsid w:val="00613F84"/>
    <w:rsid w:val="00634FD3"/>
    <w:rsid w:val="006367DF"/>
    <w:rsid w:val="0066146E"/>
    <w:rsid w:val="006719B6"/>
    <w:rsid w:val="006B6621"/>
    <w:rsid w:val="006D7678"/>
    <w:rsid w:val="006E0DE6"/>
    <w:rsid w:val="006E7664"/>
    <w:rsid w:val="00701507"/>
    <w:rsid w:val="00701BA6"/>
    <w:rsid w:val="00703D38"/>
    <w:rsid w:val="00706203"/>
    <w:rsid w:val="00743226"/>
    <w:rsid w:val="007647C0"/>
    <w:rsid w:val="00777589"/>
    <w:rsid w:val="007A069D"/>
    <w:rsid w:val="007A4D86"/>
    <w:rsid w:val="00812583"/>
    <w:rsid w:val="00814331"/>
    <w:rsid w:val="00820B03"/>
    <w:rsid w:val="008453DC"/>
    <w:rsid w:val="008724B6"/>
    <w:rsid w:val="008838DD"/>
    <w:rsid w:val="008B2FE0"/>
    <w:rsid w:val="008C1AF4"/>
    <w:rsid w:val="008D0328"/>
    <w:rsid w:val="008D7714"/>
    <w:rsid w:val="008E06F1"/>
    <w:rsid w:val="009332C2"/>
    <w:rsid w:val="009357A0"/>
    <w:rsid w:val="00955DD3"/>
    <w:rsid w:val="00995AAC"/>
    <w:rsid w:val="009A307D"/>
    <w:rsid w:val="009C7B2C"/>
    <w:rsid w:val="009D24E3"/>
    <w:rsid w:val="009E5A0B"/>
    <w:rsid w:val="00A53BC4"/>
    <w:rsid w:val="00AA034F"/>
    <w:rsid w:val="00AB65E3"/>
    <w:rsid w:val="00AC7EBC"/>
    <w:rsid w:val="00AF5164"/>
    <w:rsid w:val="00AF5563"/>
    <w:rsid w:val="00B02423"/>
    <w:rsid w:val="00B2235A"/>
    <w:rsid w:val="00B2251D"/>
    <w:rsid w:val="00B578C6"/>
    <w:rsid w:val="00B87B40"/>
    <w:rsid w:val="00B91174"/>
    <w:rsid w:val="00BA79CC"/>
    <w:rsid w:val="00BB0898"/>
    <w:rsid w:val="00BB5485"/>
    <w:rsid w:val="00BE7E63"/>
    <w:rsid w:val="00BF300E"/>
    <w:rsid w:val="00BF3C63"/>
    <w:rsid w:val="00C061D6"/>
    <w:rsid w:val="00C21588"/>
    <w:rsid w:val="00C536D8"/>
    <w:rsid w:val="00C6387B"/>
    <w:rsid w:val="00C86D94"/>
    <w:rsid w:val="00C927B9"/>
    <w:rsid w:val="00C9552F"/>
    <w:rsid w:val="00CF062F"/>
    <w:rsid w:val="00D31650"/>
    <w:rsid w:val="00D40FC5"/>
    <w:rsid w:val="00D952DA"/>
    <w:rsid w:val="00DA2754"/>
    <w:rsid w:val="00DA734A"/>
    <w:rsid w:val="00DD7456"/>
    <w:rsid w:val="00DE02C6"/>
    <w:rsid w:val="00DE0FA1"/>
    <w:rsid w:val="00DE5473"/>
    <w:rsid w:val="00E00C94"/>
    <w:rsid w:val="00E86121"/>
    <w:rsid w:val="00E9355A"/>
    <w:rsid w:val="00E93BC6"/>
    <w:rsid w:val="00E97508"/>
    <w:rsid w:val="00EC4BD5"/>
    <w:rsid w:val="00F07391"/>
    <w:rsid w:val="00F12988"/>
    <w:rsid w:val="00F16591"/>
    <w:rsid w:val="00F37E79"/>
    <w:rsid w:val="00F46659"/>
    <w:rsid w:val="00F668D1"/>
    <w:rsid w:val="00F76B0C"/>
    <w:rsid w:val="00FE4632"/>
    <w:rsid w:val="00FE51C8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86938"/>
  <w15:chartTrackingRefBased/>
  <w15:docId w15:val="{5F3F29D8-0824-463F-9AAC-EBD6A510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12988"/>
    <w:pPr>
      <w:keepNext/>
      <w:spacing w:after="0" w:line="240" w:lineRule="auto"/>
      <w:outlineLvl w:val="6"/>
    </w:pPr>
    <w:rPr>
      <w:rFonts w:ascii="Tahoma" w:eastAsia="Times New Roman" w:hAnsi="Tahoma" w:cs="Tahoma"/>
      <w:i/>
      <w:i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88"/>
  </w:style>
  <w:style w:type="paragraph" w:styleId="Footer">
    <w:name w:val="footer"/>
    <w:basedOn w:val="Normal"/>
    <w:link w:val="FooterChar"/>
    <w:uiPriority w:val="99"/>
    <w:unhideWhenUsed/>
    <w:rsid w:val="00F12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988"/>
  </w:style>
  <w:style w:type="character" w:customStyle="1" w:styleId="Heading7Char">
    <w:name w:val="Heading 7 Char"/>
    <w:basedOn w:val="DefaultParagraphFont"/>
    <w:link w:val="Heading7"/>
    <w:rsid w:val="00F12988"/>
    <w:rPr>
      <w:rFonts w:ascii="Tahoma" w:eastAsia="Times New Roman" w:hAnsi="Tahoma" w:cs="Tahoma"/>
      <w:i/>
      <w:iCs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F1298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12988"/>
    <w:rPr>
      <w:rFonts w:ascii="Tahoma" w:eastAsia="Times New Roman" w:hAnsi="Tahoma" w:cs="Tahoma"/>
      <w:sz w:val="24"/>
      <w:szCs w:val="24"/>
      <w:lang w:val="en-GB"/>
    </w:rPr>
  </w:style>
  <w:style w:type="character" w:styleId="Hyperlink">
    <w:name w:val="Hyperlink"/>
    <w:rsid w:val="00F12988"/>
    <w:rPr>
      <w:color w:val="0000FF"/>
      <w:u w:val="single"/>
    </w:rPr>
  </w:style>
  <w:style w:type="paragraph" w:styleId="Revision">
    <w:name w:val="Revision"/>
    <w:hidden/>
    <w:uiPriority w:val="99"/>
    <w:semiHidden/>
    <w:rsid w:val="00C86D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3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6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8.30D2?OpenElement&amp;FieldElemFormat=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Sofroniou</dc:creator>
  <cp:keywords/>
  <dc:description/>
  <cp:lastModifiedBy>Eleftheria Sofroniou</cp:lastModifiedBy>
  <cp:revision>5</cp:revision>
  <cp:lastPrinted>2023-02-21T09:09:00Z</cp:lastPrinted>
  <dcterms:created xsi:type="dcterms:W3CDTF">2023-02-21T06:23:00Z</dcterms:created>
  <dcterms:modified xsi:type="dcterms:W3CDTF">2023-02-21T10:03:00Z</dcterms:modified>
</cp:coreProperties>
</file>